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A2731343EED24D278DAE58F7542EF1C9"/>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3A211F" w:rsidRDefault="009F107D" w:rsidP="003A211F">
          <w:pPr>
            <w:pStyle w:val="Title"/>
          </w:pPr>
          <w:r w:rsidRPr="003A211F">
            <w:t>Visitation Reliant Support Program – round 2</w:t>
          </w:r>
        </w:p>
      </w:sdtContent>
    </w:sdt>
    <w:p w:rsidR="00DD64C2" w:rsidRPr="003A211F" w:rsidRDefault="009F107D" w:rsidP="003A211F">
      <w:pPr>
        <w:pStyle w:val="Subtitle0"/>
      </w:pPr>
      <w:r w:rsidRPr="003A211F">
        <w:t>Terms and conditions</w:t>
      </w:r>
    </w:p>
    <w:p w:rsidR="009F107D" w:rsidRPr="003A211F" w:rsidRDefault="009F107D" w:rsidP="003A211F">
      <w:pPr>
        <w:pStyle w:val="Subtitle0"/>
      </w:pPr>
      <w:r w:rsidRPr="003A211F">
        <w:t>Effective 3 December 2021</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3A211F"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bookmarkStart w:id="0" w:name="_GoBack"/>
          <w:bookmarkEnd w:id="0"/>
          <w:r w:rsidR="003A211F" w:rsidRPr="003B7BBD">
            <w:rPr>
              <w:rStyle w:val="Hyperlink"/>
              <w:noProof/>
            </w:rPr>
            <w:fldChar w:fldCharType="begin"/>
          </w:r>
          <w:r w:rsidR="003A211F" w:rsidRPr="003B7BBD">
            <w:rPr>
              <w:rStyle w:val="Hyperlink"/>
              <w:noProof/>
            </w:rPr>
            <w:instrText xml:space="preserve"> </w:instrText>
          </w:r>
          <w:r w:rsidR="003A211F">
            <w:rPr>
              <w:noProof/>
            </w:rPr>
            <w:instrText>HYPERLINK \l "_Toc89428519"</w:instrText>
          </w:r>
          <w:r w:rsidR="003A211F" w:rsidRPr="003B7BBD">
            <w:rPr>
              <w:rStyle w:val="Hyperlink"/>
              <w:noProof/>
            </w:rPr>
            <w:instrText xml:space="preserve"> </w:instrText>
          </w:r>
          <w:r w:rsidR="003A211F" w:rsidRPr="003B7BBD">
            <w:rPr>
              <w:rStyle w:val="Hyperlink"/>
              <w:noProof/>
            </w:rPr>
          </w:r>
          <w:r w:rsidR="003A211F" w:rsidRPr="003B7BBD">
            <w:rPr>
              <w:rStyle w:val="Hyperlink"/>
              <w:noProof/>
            </w:rPr>
            <w:fldChar w:fldCharType="separate"/>
          </w:r>
          <w:r w:rsidR="003A211F" w:rsidRPr="003B7BBD">
            <w:rPr>
              <w:rStyle w:val="Hyperlink"/>
              <w:noProof/>
            </w:rPr>
            <w:t>Introduction</w:t>
          </w:r>
          <w:r w:rsidR="003A211F">
            <w:rPr>
              <w:noProof/>
              <w:webHidden/>
            </w:rPr>
            <w:tab/>
          </w:r>
          <w:r w:rsidR="003A211F">
            <w:rPr>
              <w:noProof/>
              <w:webHidden/>
            </w:rPr>
            <w:fldChar w:fldCharType="begin"/>
          </w:r>
          <w:r w:rsidR="003A211F">
            <w:rPr>
              <w:noProof/>
              <w:webHidden/>
            </w:rPr>
            <w:instrText xml:space="preserve"> PAGEREF _Toc89428519 \h </w:instrText>
          </w:r>
          <w:r w:rsidR="003A211F">
            <w:rPr>
              <w:noProof/>
              <w:webHidden/>
            </w:rPr>
          </w:r>
          <w:r w:rsidR="003A211F">
            <w:rPr>
              <w:noProof/>
              <w:webHidden/>
            </w:rPr>
            <w:fldChar w:fldCharType="separate"/>
          </w:r>
          <w:r w:rsidR="003A211F">
            <w:rPr>
              <w:noProof/>
              <w:webHidden/>
            </w:rPr>
            <w:t>3</w:t>
          </w:r>
          <w:r w:rsidR="003A211F">
            <w:rPr>
              <w:noProof/>
              <w:webHidden/>
            </w:rPr>
            <w:fldChar w:fldCharType="end"/>
          </w:r>
          <w:r w:rsidR="003A211F" w:rsidRPr="003B7BBD">
            <w:rPr>
              <w:rStyle w:val="Hyperlink"/>
              <w:noProof/>
            </w:rPr>
            <w:fldChar w:fldCharType="end"/>
          </w:r>
        </w:p>
        <w:p w:rsidR="003A211F" w:rsidRDefault="003A211F">
          <w:pPr>
            <w:pStyle w:val="TOC1"/>
            <w:rPr>
              <w:rFonts w:asciiTheme="minorHAnsi" w:eastAsiaTheme="minorEastAsia" w:hAnsiTheme="minorHAnsi" w:cstheme="minorBidi"/>
              <w:b w:val="0"/>
              <w:noProof/>
              <w:lang w:eastAsia="en-AU"/>
            </w:rPr>
          </w:pPr>
          <w:hyperlink w:anchor="_Toc89428520" w:history="1">
            <w:r w:rsidRPr="003B7BBD">
              <w:rPr>
                <w:rStyle w:val="Hyperlink"/>
                <w:noProof/>
              </w:rPr>
              <w:t>1. Objective</w:t>
            </w:r>
            <w:r>
              <w:rPr>
                <w:noProof/>
                <w:webHidden/>
              </w:rPr>
              <w:tab/>
            </w:r>
            <w:r>
              <w:rPr>
                <w:noProof/>
                <w:webHidden/>
              </w:rPr>
              <w:fldChar w:fldCharType="begin"/>
            </w:r>
            <w:r>
              <w:rPr>
                <w:noProof/>
                <w:webHidden/>
              </w:rPr>
              <w:instrText xml:space="preserve"> PAGEREF _Toc89428520 \h </w:instrText>
            </w:r>
            <w:r>
              <w:rPr>
                <w:noProof/>
                <w:webHidden/>
              </w:rPr>
            </w:r>
            <w:r>
              <w:rPr>
                <w:noProof/>
                <w:webHidden/>
              </w:rPr>
              <w:fldChar w:fldCharType="separate"/>
            </w:r>
            <w:r>
              <w:rPr>
                <w:noProof/>
                <w:webHidden/>
              </w:rPr>
              <w:t>3</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21" w:history="1">
            <w:r w:rsidRPr="003B7BBD">
              <w:rPr>
                <w:rStyle w:val="Hyperlink"/>
                <w:noProof/>
              </w:rPr>
              <w:t>2. Definitions</w:t>
            </w:r>
            <w:r>
              <w:rPr>
                <w:noProof/>
                <w:webHidden/>
              </w:rPr>
              <w:tab/>
            </w:r>
            <w:r>
              <w:rPr>
                <w:noProof/>
                <w:webHidden/>
              </w:rPr>
              <w:fldChar w:fldCharType="begin"/>
            </w:r>
            <w:r>
              <w:rPr>
                <w:noProof/>
                <w:webHidden/>
              </w:rPr>
              <w:instrText xml:space="preserve"> PAGEREF _Toc89428521 \h </w:instrText>
            </w:r>
            <w:r>
              <w:rPr>
                <w:noProof/>
                <w:webHidden/>
              </w:rPr>
            </w:r>
            <w:r>
              <w:rPr>
                <w:noProof/>
                <w:webHidden/>
              </w:rPr>
              <w:fldChar w:fldCharType="separate"/>
            </w:r>
            <w:r>
              <w:rPr>
                <w:noProof/>
                <w:webHidden/>
              </w:rPr>
              <w:t>3</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22" w:history="1">
            <w:r w:rsidRPr="003B7BBD">
              <w:rPr>
                <w:rStyle w:val="Hyperlink"/>
                <w:noProof/>
              </w:rPr>
              <w:t>3. How to apply</w:t>
            </w:r>
            <w:r>
              <w:rPr>
                <w:noProof/>
                <w:webHidden/>
              </w:rPr>
              <w:tab/>
            </w:r>
            <w:r>
              <w:rPr>
                <w:noProof/>
                <w:webHidden/>
              </w:rPr>
              <w:fldChar w:fldCharType="begin"/>
            </w:r>
            <w:r>
              <w:rPr>
                <w:noProof/>
                <w:webHidden/>
              </w:rPr>
              <w:instrText xml:space="preserve"> PAGEREF _Toc89428522 \h </w:instrText>
            </w:r>
            <w:r>
              <w:rPr>
                <w:noProof/>
                <w:webHidden/>
              </w:rPr>
            </w:r>
            <w:r>
              <w:rPr>
                <w:noProof/>
                <w:webHidden/>
              </w:rPr>
              <w:fldChar w:fldCharType="separate"/>
            </w:r>
            <w:r>
              <w:rPr>
                <w:noProof/>
                <w:webHidden/>
              </w:rPr>
              <w:t>5</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23" w:history="1">
            <w:r w:rsidRPr="003B7BBD">
              <w:rPr>
                <w:rStyle w:val="Hyperlink"/>
                <w:noProof/>
              </w:rPr>
              <w:t>4. Eligibility criteria and processes – Eligible Recipient</w:t>
            </w:r>
            <w:r>
              <w:rPr>
                <w:noProof/>
                <w:webHidden/>
              </w:rPr>
              <w:tab/>
            </w:r>
            <w:r>
              <w:rPr>
                <w:noProof/>
                <w:webHidden/>
              </w:rPr>
              <w:fldChar w:fldCharType="begin"/>
            </w:r>
            <w:r>
              <w:rPr>
                <w:noProof/>
                <w:webHidden/>
              </w:rPr>
              <w:instrText xml:space="preserve"> PAGEREF _Toc89428523 \h </w:instrText>
            </w:r>
            <w:r>
              <w:rPr>
                <w:noProof/>
                <w:webHidden/>
              </w:rPr>
            </w:r>
            <w:r>
              <w:rPr>
                <w:noProof/>
                <w:webHidden/>
              </w:rPr>
              <w:fldChar w:fldCharType="separate"/>
            </w:r>
            <w:r>
              <w:rPr>
                <w:noProof/>
                <w:webHidden/>
              </w:rPr>
              <w:t>5</w:t>
            </w:r>
            <w:r>
              <w:rPr>
                <w:noProof/>
                <w:webHidden/>
              </w:rPr>
              <w:fldChar w:fldCharType="end"/>
            </w:r>
          </w:hyperlink>
        </w:p>
        <w:p w:rsidR="003A211F" w:rsidRDefault="003A211F">
          <w:pPr>
            <w:pStyle w:val="TOC2"/>
            <w:rPr>
              <w:rFonts w:asciiTheme="minorHAnsi" w:eastAsiaTheme="minorEastAsia" w:hAnsiTheme="minorHAnsi" w:cstheme="minorBidi"/>
              <w:noProof/>
              <w:lang w:eastAsia="en-AU"/>
            </w:rPr>
          </w:pPr>
          <w:hyperlink w:anchor="_Toc89428524" w:history="1">
            <w:r w:rsidRPr="003B7BBD">
              <w:rPr>
                <w:rStyle w:val="Hyperlink"/>
                <w:noProof/>
              </w:rPr>
              <w:t>4.1. Eligibility</w:t>
            </w:r>
            <w:r>
              <w:rPr>
                <w:noProof/>
                <w:webHidden/>
              </w:rPr>
              <w:tab/>
            </w:r>
            <w:r>
              <w:rPr>
                <w:noProof/>
                <w:webHidden/>
              </w:rPr>
              <w:fldChar w:fldCharType="begin"/>
            </w:r>
            <w:r>
              <w:rPr>
                <w:noProof/>
                <w:webHidden/>
              </w:rPr>
              <w:instrText xml:space="preserve"> PAGEREF _Toc89428524 \h </w:instrText>
            </w:r>
            <w:r>
              <w:rPr>
                <w:noProof/>
                <w:webHidden/>
              </w:rPr>
            </w:r>
            <w:r>
              <w:rPr>
                <w:noProof/>
                <w:webHidden/>
              </w:rPr>
              <w:fldChar w:fldCharType="separate"/>
            </w:r>
            <w:r>
              <w:rPr>
                <w:noProof/>
                <w:webHidden/>
              </w:rPr>
              <w:t>5</w:t>
            </w:r>
            <w:r>
              <w:rPr>
                <w:noProof/>
                <w:webHidden/>
              </w:rPr>
              <w:fldChar w:fldCharType="end"/>
            </w:r>
          </w:hyperlink>
        </w:p>
        <w:p w:rsidR="003A211F" w:rsidRDefault="003A211F">
          <w:pPr>
            <w:pStyle w:val="TOC2"/>
            <w:rPr>
              <w:rFonts w:asciiTheme="minorHAnsi" w:eastAsiaTheme="minorEastAsia" w:hAnsiTheme="minorHAnsi" w:cstheme="minorBidi"/>
              <w:noProof/>
              <w:lang w:eastAsia="en-AU"/>
            </w:rPr>
          </w:pPr>
          <w:hyperlink w:anchor="_Toc89428525" w:history="1">
            <w:r w:rsidRPr="003B7BBD">
              <w:rPr>
                <w:rStyle w:val="Hyperlink"/>
                <w:noProof/>
              </w:rPr>
              <w:t>4.2. Application process</w:t>
            </w:r>
            <w:r>
              <w:rPr>
                <w:noProof/>
                <w:webHidden/>
              </w:rPr>
              <w:tab/>
            </w:r>
            <w:r>
              <w:rPr>
                <w:noProof/>
                <w:webHidden/>
              </w:rPr>
              <w:fldChar w:fldCharType="begin"/>
            </w:r>
            <w:r>
              <w:rPr>
                <w:noProof/>
                <w:webHidden/>
              </w:rPr>
              <w:instrText xml:space="preserve"> PAGEREF _Toc89428525 \h </w:instrText>
            </w:r>
            <w:r>
              <w:rPr>
                <w:noProof/>
                <w:webHidden/>
              </w:rPr>
            </w:r>
            <w:r>
              <w:rPr>
                <w:noProof/>
                <w:webHidden/>
              </w:rPr>
              <w:fldChar w:fldCharType="separate"/>
            </w:r>
            <w:r>
              <w:rPr>
                <w:noProof/>
                <w:webHidden/>
              </w:rPr>
              <w:t>5</w:t>
            </w:r>
            <w:r>
              <w:rPr>
                <w:noProof/>
                <w:webHidden/>
              </w:rPr>
              <w:fldChar w:fldCharType="end"/>
            </w:r>
          </w:hyperlink>
        </w:p>
        <w:p w:rsidR="003A211F" w:rsidRDefault="003A211F">
          <w:pPr>
            <w:pStyle w:val="TOC2"/>
            <w:rPr>
              <w:rFonts w:asciiTheme="minorHAnsi" w:eastAsiaTheme="minorEastAsia" w:hAnsiTheme="minorHAnsi" w:cstheme="minorBidi"/>
              <w:noProof/>
              <w:lang w:eastAsia="en-AU"/>
            </w:rPr>
          </w:pPr>
          <w:hyperlink w:anchor="_Toc89428526" w:history="1">
            <w:r w:rsidRPr="003B7BBD">
              <w:rPr>
                <w:rStyle w:val="Hyperlink"/>
                <w:noProof/>
              </w:rPr>
              <w:t>4.3. Declaration as to facts of application</w:t>
            </w:r>
            <w:r>
              <w:rPr>
                <w:noProof/>
                <w:webHidden/>
              </w:rPr>
              <w:tab/>
            </w:r>
            <w:r>
              <w:rPr>
                <w:noProof/>
                <w:webHidden/>
              </w:rPr>
              <w:fldChar w:fldCharType="begin"/>
            </w:r>
            <w:r>
              <w:rPr>
                <w:noProof/>
                <w:webHidden/>
              </w:rPr>
              <w:instrText xml:space="preserve"> PAGEREF _Toc89428526 \h </w:instrText>
            </w:r>
            <w:r>
              <w:rPr>
                <w:noProof/>
                <w:webHidden/>
              </w:rPr>
            </w:r>
            <w:r>
              <w:rPr>
                <w:noProof/>
                <w:webHidden/>
              </w:rPr>
              <w:fldChar w:fldCharType="separate"/>
            </w:r>
            <w:r>
              <w:rPr>
                <w:noProof/>
                <w:webHidden/>
              </w:rPr>
              <w:t>6</w:t>
            </w:r>
            <w:r>
              <w:rPr>
                <w:noProof/>
                <w:webHidden/>
              </w:rPr>
              <w:fldChar w:fldCharType="end"/>
            </w:r>
          </w:hyperlink>
        </w:p>
        <w:p w:rsidR="003A211F" w:rsidRDefault="003A211F">
          <w:pPr>
            <w:pStyle w:val="TOC2"/>
            <w:rPr>
              <w:rFonts w:asciiTheme="minorHAnsi" w:eastAsiaTheme="minorEastAsia" w:hAnsiTheme="minorHAnsi" w:cstheme="minorBidi"/>
              <w:noProof/>
              <w:lang w:eastAsia="en-AU"/>
            </w:rPr>
          </w:pPr>
          <w:hyperlink w:anchor="_Toc89428527" w:history="1">
            <w:r w:rsidRPr="003B7BBD">
              <w:rPr>
                <w:rStyle w:val="Hyperlink"/>
                <w:noProof/>
              </w:rPr>
              <w:t>4.4. Program principles</w:t>
            </w:r>
            <w:r>
              <w:rPr>
                <w:noProof/>
                <w:webHidden/>
              </w:rPr>
              <w:tab/>
            </w:r>
            <w:r>
              <w:rPr>
                <w:noProof/>
                <w:webHidden/>
              </w:rPr>
              <w:fldChar w:fldCharType="begin"/>
            </w:r>
            <w:r>
              <w:rPr>
                <w:noProof/>
                <w:webHidden/>
              </w:rPr>
              <w:instrText xml:space="preserve"> PAGEREF _Toc89428527 \h </w:instrText>
            </w:r>
            <w:r>
              <w:rPr>
                <w:noProof/>
                <w:webHidden/>
              </w:rPr>
            </w:r>
            <w:r>
              <w:rPr>
                <w:noProof/>
                <w:webHidden/>
              </w:rPr>
              <w:fldChar w:fldCharType="separate"/>
            </w:r>
            <w:r>
              <w:rPr>
                <w:noProof/>
                <w:webHidden/>
              </w:rPr>
              <w:t>6</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28" w:history="1">
            <w:r w:rsidRPr="003B7BBD">
              <w:rPr>
                <w:rStyle w:val="Hyperlink"/>
                <w:noProof/>
              </w:rPr>
              <w:t>5. Support available in round 2</w:t>
            </w:r>
            <w:r>
              <w:rPr>
                <w:noProof/>
                <w:webHidden/>
              </w:rPr>
              <w:tab/>
            </w:r>
            <w:r>
              <w:rPr>
                <w:noProof/>
                <w:webHidden/>
              </w:rPr>
              <w:fldChar w:fldCharType="begin"/>
            </w:r>
            <w:r>
              <w:rPr>
                <w:noProof/>
                <w:webHidden/>
              </w:rPr>
              <w:instrText xml:space="preserve"> PAGEREF _Toc89428528 \h </w:instrText>
            </w:r>
            <w:r>
              <w:rPr>
                <w:noProof/>
                <w:webHidden/>
              </w:rPr>
            </w:r>
            <w:r>
              <w:rPr>
                <w:noProof/>
                <w:webHidden/>
              </w:rPr>
              <w:fldChar w:fldCharType="separate"/>
            </w:r>
            <w:r>
              <w:rPr>
                <w:noProof/>
                <w:webHidden/>
              </w:rPr>
              <w:t>6</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29" w:history="1">
            <w:r w:rsidRPr="003B7BBD">
              <w:rPr>
                <w:rStyle w:val="Hyperlink"/>
                <w:noProof/>
              </w:rPr>
              <w:t>6. Audit of information</w:t>
            </w:r>
            <w:r>
              <w:rPr>
                <w:noProof/>
                <w:webHidden/>
              </w:rPr>
              <w:tab/>
            </w:r>
            <w:r>
              <w:rPr>
                <w:noProof/>
                <w:webHidden/>
              </w:rPr>
              <w:fldChar w:fldCharType="begin"/>
            </w:r>
            <w:r>
              <w:rPr>
                <w:noProof/>
                <w:webHidden/>
              </w:rPr>
              <w:instrText xml:space="preserve"> PAGEREF _Toc89428529 \h </w:instrText>
            </w:r>
            <w:r>
              <w:rPr>
                <w:noProof/>
                <w:webHidden/>
              </w:rPr>
            </w:r>
            <w:r>
              <w:rPr>
                <w:noProof/>
                <w:webHidden/>
              </w:rPr>
              <w:fldChar w:fldCharType="separate"/>
            </w:r>
            <w:r>
              <w:rPr>
                <w:noProof/>
                <w:webHidden/>
              </w:rPr>
              <w:t>6</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30" w:history="1">
            <w:r w:rsidRPr="003B7BBD">
              <w:rPr>
                <w:rStyle w:val="Hyperlink"/>
                <w:noProof/>
              </w:rPr>
              <w:t>7. Goods and Services Tax</w:t>
            </w:r>
            <w:r>
              <w:rPr>
                <w:noProof/>
                <w:webHidden/>
              </w:rPr>
              <w:tab/>
            </w:r>
            <w:r>
              <w:rPr>
                <w:noProof/>
                <w:webHidden/>
              </w:rPr>
              <w:fldChar w:fldCharType="begin"/>
            </w:r>
            <w:r>
              <w:rPr>
                <w:noProof/>
                <w:webHidden/>
              </w:rPr>
              <w:instrText xml:space="preserve"> PAGEREF _Toc89428530 \h </w:instrText>
            </w:r>
            <w:r>
              <w:rPr>
                <w:noProof/>
                <w:webHidden/>
              </w:rPr>
            </w:r>
            <w:r>
              <w:rPr>
                <w:noProof/>
                <w:webHidden/>
              </w:rPr>
              <w:fldChar w:fldCharType="separate"/>
            </w:r>
            <w:r>
              <w:rPr>
                <w:noProof/>
                <w:webHidden/>
              </w:rPr>
              <w:t>7</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31" w:history="1">
            <w:r w:rsidRPr="003B7BBD">
              <w:rPr>
                <w:rStyle w:val="Hyperlink"/>
                <w:noProof/>
              </w:rPr>
              <w:t>8. All supplies using grants at risk of Recipient</w:t>
            </w:r>
            <w:r>
              <w:rPr>
                <w:noProof/>
                <w:webHidden/>
              </w:rPr>
              <w:tab/>
            </w:r>
            <w:r>
              <w:rPr>
                <w:noProof/>
                <w:webHidden/>
              </w:rPr>
              <w:fldChar w:fldCharType="begin"/>
            </w:r>
            <w:r>
              <w:rPr>
                <w:noProof/>
                <w:webHidden/>
              </w:rPr>
              <w:instrText xml:space="preserve"> PAGEREF _Toc89428531 \h </w:instrText>
            </w:r>
            <w:r>
              <w:rPr>
                <w:noProof/>
                <w:webHidden/>
              </w:rPr>
            </w:r>
            <w:r>
              <w:rPr>
                <w:noProof/>
                <w:webHidden/>
              </w:rPr>
              <w:fldChar w:fldCharType="separate"/>
            </w:r>
            <w:r>
              <w:rPr>
                <w:noProof/>
                <w:webHidden/>
              </w:rPr>
              <w:t>7</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32" w:history="1">
            <w:r w:rsidRPr="003B7BBD">
              <w:rPr>
                <w:rStyle w:val="Hyperlink"/>
                <w:noProof/>
              </w:rPr>
              <w:t>9. Program changes</w:t>
            </w:r>
            <w:r>
              <w:rPr>
                <w:noProof/>
                <w:webHidden/>
              </w:rPr>
              <w:tab/>
            </w:r>
            <w:r>
              <w:rPr>
                <w:noProof/>
                <w:webHidden/>
              </w:rPr>
              <w:fldChar w:fldCharType="begin"/>
            </w:r>
            <w:r>
              <w:rPr>
                <w:noProof/>
                <w:webHidden/>
              </w:rPr>
              <w:instrText xml:space="preserve"> PAGEREF _Toc89428532 \h </w:instrText>
            </w:r>
            <w:r>
              <w:rPr>
                <w:noProof/>
                <w:webHidden/>
              </w:rPr>
            </w:r>
            <w:r>
              <w:rPr>
                <w:noProof/>
                <w:webHidden/>
              </w:rPr>
              <w:fldChar w:fldCharType="separate"/>
            </w:r>
            <w:r>
              <w:rPr>
                <w:noProof/>
                <w:webHidden/>
              </w:rPr>
              <w:t>7</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33" w:history="1">
            <w:r w:rsidRPr="003B7BBD">
              <w:rPr>
                <w:rStyle w:val="Hyperlink"/>
                <w:noProof/>
              </w:rPr>
              <w:t>10. Privacy</w:t>
            </w:r>
            <w:r>
              <w:rPr>
                <w:noProof/>
                <w:webHidden/>
              </w:rPr>
              <w:tab/>
            </w:r>
            <w:r>
              <w:rPr>
                <w:noProof/>
                <w:webHidden/>
              </w:rPr>
              <w:fldChar w:fldCharType="begin"/>
            </w:r>
            <w:r>
              <w:rPr>
                <w:noProof/>
                <w:webHidden/>
              </w:rPr>
              <w:instrText xml:space="preserve"> PAGEREF _Toc89428533 \h </w:instrText>
            </w:r>
            <w:r>
              <w:rPr>
                <w:noProof/>
                <w:webHidden/>
              </w:rPr>
            </w:r>
            <w:r>
              <w:rPr>
                <w:noProof/>
                <w:webHidden/>
              </w:rPr>
              <w:fldChar w:fldCharType="separate"/>
            </w:r>
            <w:r>
              <w:rPr>
                <w:noProof/>
                <w:webHidden/>
              </w:rPr>
              <w:t>7</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34" w:history="1">
            <w:r w:rsidRPr="003B7BBD">
              <w:rPr>
                <w:rStyle w:val="Hyperlink"/>
                <w:noProof/>
              </w:rPr>
              <w:t>11. Due diligence, audit and compliance with law</w:t>
            </w:r>
            <w:r>
              <w:rPr>
                <w:noProof/>
                <w:webHidden/>
              </w:rPr>
              <w:tab/>
            </w:r>
            <w:r>
              <w:rPr>
                <w:noProof/>
                <w:webHidden/>
              </w:rPr>
              <w:fldChar w:fldCharType="begin"/>
            </w:r>
            <w:r>
              <w:rPr>
                <w:noProof/>
                <w:webHidden/>
              </w:rPr>
              <w:instrText xml:space="preserve"> PAGEREF _Toc89428534 \h </w:instrText>
            </w:r>
            <w:r>
              <w:rPr>
                <w:noProof/>
                <w:webHidden/>
              </w:rPr>
            </w:r>
            <w:r>
              <w:rPr>
                <w:noProof/>
                <w:webHidden/>
              </w:rPr>
              <w:fldChar w:fldCharType="separate"/>
            </w:r>
            <w:r>
              <w:rPr>
                <w:noProof/>
                <w:webHidden/>
              </w:rPr>
              <w:t>8</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35" w:history="1">
            <w:r w:rsidRPr="003B7BBD">
              <w:rPr>
                <w:rStyle w:val="Hyperlink"/>
                <w:noProof/>
              </w:rPr>
              <w:t>12. Beginning and end of Program</w:t>
            </w:r>
            <w:r>
              <w:rPr>
                <w:noProof/>
                <w:webHidden/>
              </w:rPr>
              <w:tab/>
            </w:r>
            <w:r>
              <w:rPr>
                <w:noProof/>
                <w:webHidden/>
              </w:rPr>
              <w:fldChar w:fldCharType="begin"/>
            </w:r>
            <w:r>
              <w:rPr>
                <w:noProof/>
                <w:webHidden/>
              </w:rPr>
              <w:instrText xml:space="preserve"> PAGEREF _Toc89428535 \h </w:instrText>
            </w:r>
            <w:r>
              <w:rPr>
                <w:noProof/>
                <w:webHidden/>
              </w:rPr>
            </w:r>
            <w:r>
              <w:rPr>
                <w:noProof/>
                <w:webHidden/>
              </w:rPr>
              <w:fldChar w:fldCharType="separate"/>
            </w:r>
            <w:r>
              <w:rPr>
                <w:noProof/>
                <w:webHidden/>
              </w:rPr>
              <w:t>8</w:t>
            </w:r>
            <w:r>
              <w:rPr>
                <w:noProof/>
                <w:webHidden/>
              </w:rPr>
              <w:fldChar w:fldCharType="end"/>
            </w:r>
          </w:hyperlink>
        </w:p>
        <w:p w:rsidR="003A211F" w:rsidRDefault="003A211F">
          <w:pPr>
            <w:pStyle w:val="TOC1"/>
            <w:rPr>
              <w:rFonts w:asciiTheme="minorHAnsi" w:eastAsiaTheme="minorEastAsia" w:hAnsiTheme="minorHAnsi" w:cstheme="minorBidi"/>
              <w:b w:val="0"/>
              <w:noProof/>
              <w:lang w:eastAsia="en-AU"/>
            </w:rPr>
          </w:pPr>
          <w:hyperlink w:anchor="_Toc89428536" w:history="1">
            <w:r w:rsidRPr="003B7BBD">
              <w:rPr>
                <w:rStyle w:val="Hyperlink"/>
                <w:noProof/>
              </w:rPr>
              <w:t>13. Contacts</w:t>
            </w:r>
            <w:r>
              <w:rPr>
                <w:noProof/>
                <w:webHidden/>
              </w:rPr>
              <w:tab/>
            </w:r>
            <w:r>
              <w:rPr>
                <w:noProof/>
                <w:webHidden/>
              </w:rPr>
              <w:fldChar w:fldCharType="begin"/>
            </w:r>
            <w:r>
              <w:rPr>
                <w:noProof/>
                <w:webHidden/>
              </w:rPr>
              <w:instrText xml:space="preserve"> PAGEREF _Toc89428536 \h </w:instrText>
            </w:r>
            <w:r>
              <w:rPr>
                <w:noProof/>
                <w:webHidden/>
              </w:rPr>
            </w:r>
            <w:r>
              <w:rPr>
                <w:noProof/>
                <w:webHidden/>
              </w:rPr>
              <w:fldChar w:fldCharType="separate"/>
            </w:r>
            <w:r>
              <w:rPr>
                <w:noProof/>
                <w:webHidden/>
              </w:rPr>
              <w:t>8</w:t>
            </w:r>
            <w:r>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9F107D" w:rsidRPr="003A211F" w:rsidRDefault="009F107D" w:rsidP="003A211F">
      <w:pPr>
        <w:rPr>
          <w:i/>
        </w:rPr>
      </w:pPr>
      <w:r w:rsidRPr="003A211F">
        <w:rPr>
          <w:b/>
          <w:i/>
        </w:rPr>
        <w:lastRenderedPageBreak/>
        <w:t>All participants please note</w:t>
      </w:r>
      <w:r w:rsidRPr="003A211F">
        <w:rPr>
          <w:i/>
        </w:rPr>
        <w:t xml:space="preserve"> – The Department is committed to ensuring that the overall objective, intent and expectations of the Program are met, and for that reason the Terms and Conditions of the Program are subject to change without notice. It is your responsibility to check this website frequently for      notifications about changes that may have been made to the Terms and Conditions or any other aspect of Program documentation. If you do not agree with any changes, then you may opt out of the Program by providing notice in writing to that effect to the Department.</w:t>
      </w:r>
    </w:p>
    <w:p w:rsidR="009F107D" w:rsidRPr="009F107D" w:rsidRDefault="009F107D" w:rsidP="009F107D">
      <w:pPr>
        <w:pStyle w:val="Heading1"/>
        <w:numPr>
          <w:ilvl w:val="0"/>
          <w:numId w:val="0"/>
        </w:numPr>
      </w:pPr>
      <w:bookmarkStart w:id="1" w:name="Introduction"/>
      <w:bookmarkStart w:id="2" w:name="_Toc80284769"/>
      <w:bookmarkStart w:id="3" w:name="_Toc89428519"/>
      <w:bookmarkEnd w:id="1"/>
      <w:r w:rsidRPr="009F107D">
        <w:t>Introduction</w:t>
      </w:r>
      <w:bookmarkEnd w:id="2"/>
      <w:bookmarkEnd w:id="3"/>
    </w:p>
    <w:p w:rsidR="009F107D" w:rsidRPr="003A211F" w:rsidRDefault="009F107D" w:rsidP="003A211F">
      <w:r w:rsidRPr="003A211F">
        <w:t xml:space="preserve">The purpose of the Visitation Reliant Support Program (‘Program’) round 2 is to support small businesses operating in a range of tourism and hospitality related sectors that have been impacted due to restrictions on travel put in place by interstate governments and the subsequent drop in visitation to the Northern Territory. </w:t>
      </w:r>
    </w:p>
    <w:p w:rsidR="009F107D" w:rsidRPr="003A211F" w:rsidRDefault="009F107D" w:rsidP="003A211F">
      <w:r w:rsidRPr="003A211F">
        <w:t xml:space="preserve">The Program is available for a number of sectors of the tourism and hospitality industry that have been impacted. </w:t>
      </w:r>
    </w:p>
    <w:p w:rsidR="009F107D" w:rsidRPr="009F107D" w:rsidRDefault="009F107D" w:rsidP="009F107D">
      <w:pPr>
        <w:pStyle w:val="Heading1"/>
      </w:pPr>
      <w:bookmarkStart w:id="4" w:name="1._General"/>
      <w:bookmarkStart w:id="5" w:name="_Toc80284770"/>
      <w:bookmarkStart w:id="6" w:name="_Toc89428520"/>
      <w:bookmarkEnd w:id="4"/>
      <w:r w:rsidRPr="009F107D">
        <w:t>Objective</w:t>
      </w:r>
      <w:bookmarkEnd w:id="5"/>
      <w:bookmarkEnd w:id="6"/>
    </w:p>
    <w:p w:rsidR="009F107D" w:rsidRPr="003A211F" w:rsidRDefault="009F107D" w:rsidP="003A211F">
      <w:bookmarkStart w:id="7" w:name="1.1._Objectives"/>
      <w:bookmarkEnd w:id="7"/>
      <w:r w:rsidRPr="003A211F">
        <w:t>In recognition of the devastating financial impact interstate lockdowns and travel restrictions have had on tourism and hospitality in the NT, the Northern Territory Government has developed a multi-pronged approach to support the Territory’s tourism industry, comprising programs targeting specific sectors, and also businesses that service the tourism and hospitality sector but are not eligible for support under the Tourism Survival Fund (round 1 or round 2) or other targeted support mechanisms.</w:t>
      </w:r>
    </w:p>
    <w:p w:rsidR="009F107D" w:rsidRPr="009F107D" w:rsidRDefault="009F107D" w:rsidP="009F107D">
      <w:pPr>
        <w:pStyle w:val="Heading1"/>
      </w:pPr>
      <w:bookmarkStart w:id="8" w:name="1.2._Definitions"/>
      <w:bookmarkStart w:id="9" w:name="_Toc80284771"/>
      <w:bookmarkStart w:id="10" w:name="_Toc89428521"/>
      <w:bookmarkEnd w:id="8"/>
      <w:r w:rsidRPr="009F107D">
        <w:t>Definitions</w:t>
      </w:r>
      <w:bookmarkEnd w:id="9"/>
      <w:bookmarkEnd w:id="10"/>
    </w:p>
    <w:p w:rsidR="009F107D" w:rsidRPr="003A211F" w:rsidRDefault="009F107D" w:rsidP="003A211F">
      <w:r w:rsidRPr="003A211F">
        <w:rPr>
          <w:b/>
        </w:rPr>
        <w:t>Approved Purpose</w:t>
      </w:r>
      <w:r w:rsidRPr="003A211F">
        <w:t xml:space="preserve"> means the meeting of fixed business costs and/or for the purpose of staff retention (</w:t>
      </w:r>
      <w:proofErr w:type="spellStart"/>
      <w:r w:rsidRPr="003A211F">
        <w:t>ie</w:t>
      </w:r>
      <w:proofErr w:type="spellEnd"/>
      <w:r w:rsidRPr="003A211F">
        <w:t xml:space="preserve"> for payment of or towards the payment of wages to employees) as the case may be.</w:t>
      </w:r>
    </w:p>
    <w:p w:rsidR="009F107D" w:rsidRPr="003A211F" w:rsidRDefault="009F107D" w:rsidP="003A211F">
      <w:r w:rsidRPr="003A211F">
        <w:rPr>
          <w:b/>
        </w:rPr>
        <w:t>Audit or Spot Audit</w:t>
      </w:r>
      <w:r w:rsidRPr="003A211F">
        <w:t xml:space="preserve"> means the Department’s right to check original documents and undertake onsite inspections of property from which a recipient of grant/s from the Program operates.  As a condition of being registered to participate in the Program, the Eligible Recipient agrees to present, upon request by the Department within 10 working days of the request, any documentation required by the Department that is  related to the eligibility to apply for and expenditure of any grant made to the business. Participants should note that Audits may be carried out by Tourism NT in place of, or as well as, the Department.</w:t>
      </w:r>
    </w:p>
    <w:p w:rsidR="009F107D" w:rsidRPr="003A211F" w:rsidRDefault="009F107D" w:rsidP="003A211F">
      <w:r w:rsidRPr="003A211F">
        <w:rPr>
          <w:b/>
        </w:rPr>
        <w:t>Department</w:t>
      </w:r>
      <w:r w:rsidRPr="003A211F">
        <w:t xml:space="preserve"> means the Northern Territory Government, Department of Industry, Tourism and Trade. </w:t>
      </w:r>
    </w:p>
    <w:p w:rsidR="009F107D" w:rsidRPr="003A211F" w:rsidRDefault="009F107D" w:rsidP="003A211F">
      <w:r w:rsidRPr="003A211F">
        <w:rPr>
          <w:b/>
        </w:rPr>
        <w:t>Eligible Sector/s</w:t>
      </w:r>
      <w:r w:rsidRPr="003A211F">
        <w:t xml:space="preserve"> include, but are not necessarily limited to:</w:t>
      </w:r>
    </w:p>
    <w:p w:rsidR="009F107D" w:rsidRPr="003A211F" w:rsidRDefault="009F107D" w:rsidP="003A211F">
      <w:pPr>
        <w:pStyle w:val="ListParagraph"/>
        <w:numPr>
          <w:ilvl w:val="0"/>
          <w:numId w:val="26"/>
        </w:numPr>
      </w:pPr>
      <w:r w:rsidRPr="003A211F">
        <w:t>Wholesale and retail trade</w:t>
      </w:r>
    </w:p>
    <w:p w:rsidR="009F107D" w:rsidRPr="003A211F" w:rsidRDefault="009F107D" w:rsidP="003A211F">
      <w:pPr>
        <w:pStyle w:val="ListParagraph"/>
        <w:numPr>
          <w:ilvl w:val="0"/>
          <w:numId w:val="26"/>
        </w:numPr>
      </w:pPr>
      <w:r w:rsidRPr="003A211F">
        <w:t>Provision of accommodation and/or food services</w:t>
      </w:r>
    </w:p>
    <w:p w:rsidR="009F107D" w:rsidRPr="003A211F" w:rsidRDefault="009F107D" w:rsidP="003A211F">
      <w:pPr>
        <w:pStyle w:val="ListParagraph"/>
        <w:numPr>
          <w:ilvl w:val="0"/>
          <w:numId w:val="26"/>
        </w:numPr>
      </w:pPr>
      <w:r w:rsidRPr="003A211F">
        <w:t>Transport, postal, warehousing and/ or storage of stock in trade</w:t>
      </w:r>
    </w:p>
    <w:p w:rsidR="009F107D" w:rsidRPr="003A211F" w:rsidRDefault="009F107D" w:rsidP="003A211F">
      <w:pPr>
        <w:pStyle w:val="ListParagraph"/>
        <w:numPr>
          <w:ilvl w:val="0"/>
          <w:numId w:val="26"/>
        </w:numPr>
      </w:pPr>
      <w:r w:rsidRPr="003A211F">
        <w:t>Education and training</w:t>
      </w:r>
    </w:p>
    <w:p w:rsidR="009F107D" w:rsidRPr="003A211F" w:rsidRDefault="009F107D" w:rsidP="003A211F">
      <w:pPr>
        <w:pStyle w:val="ListParagraph"/>
        <w:numPr>
          <w:ilvl w:val="0"/>
          <w:numId w:val="26"/>
        </w:numPr>
      </w:pPr>
      <w:r w:rsidRPr="003A211F">
        <w:t>Provision of arts and/ or recreational services</w:t>
      </w:r>
    </w:p>
    <w:p w:rsidR="009F107D" w:rsidRPr="003A211F" w:rsidRDefault="009F107D" w:rsidP="003A211F">
      <w:pPr>
        <w:keepNext/>
      </w:pPr>
      <w:r w:rsidRPr="003A211F">
        <w:lastRenderedPageBreak/>
        <w:t xml:space="preserve">An </w:t>
      </w:r>
      <w:r w:rsidRPr="003A211F">
        <w:rPr>
          <w:b/>
        </w:rPr>
        <w:t>Eligible Recipient</w:t>
      </w:r>
      <w:r w:rsidRPr="003A211F">
        <w:t>:</w:t>
      </w:r>
    </w:p>
    <w:p w:rsidR="009F107D" w:rsidRPr="003A211F" w:rsidRDefault="009F107D" w:rsidP="003A211F">
      <w:pPr>
        <w:pStyle w:val="ListParagraph"/>
        <w:numPr>
          <w:ilvl w:val="0"/>
          <w:numId w:val="27"/>
        </w:numPr>
      </w:pPr>
      <w:r w:rsidRPr="003A211F">
        <w:t>received funding in round 1 of the Visitation Reliant Support program and suffered a drop of 50% or more in turnover in the nominated periods for round 2:</w:t>
      </w:r>
    </w:p>
    <w:p w:rsidR="009F107D" w:rsidRPr="003A211F" w:rsidRDefault="009F107D" w:rsidP="003A211F">
      <w:pPr>
        <w:pStyle w:val="ListParagraph"/>
        <w:numPr>
          <w:ilvl w:val="1"/>
          <w:numId w:val="28"/>
        </w:numPr>
      </w:pPr>
      <w:r w:rsidRPr="003A211F">
        <w:t>years – 2019 compared to 2021; and</w:t>
      </w:r>
    </w:p>
    <w:p w:rsidR="009F107D" w:rsidRPr="003A211F" w:rsidRDefault="009F107D" w:rsidP="003A211F">
      <w:pPr>
        <w:pStyle w:val="ListParagraph"/>
        <w:numPr>
          <w:ilvl w:val="1"/>
          <w:numId w:val="28"/>
        </w:numPr>
      </w:pPr>
      <w:proofErr w:type="gramStart"/>
      <w:r w:rsidRPr="003A211F">
        <w:t>months</w:t>
      </w:r>
      <w:proofErr w:type="gramEnd"/>
      <w:r w:rsidRPr="003A211F">
        <w:t xml:space="preserve"> – one or more months from April to October (inclusive).  Identical months must be used for 2019 and 2021; or</w:t>
      </w:r>
    </w:p>
    <w:p w:rsidR="009F107D" w:rsidRPr="003A211F" w:rsidRDefault="009F107D" w:rsidP="003A211F">
      <w:pPr>
        <w:pStyle w:val="ListParagraph"/>
        <w:numPr>
          <w:ilvl w:val="0"/>
          <w:numId w:val="27"/>
        </w:numPr>
      </w:pPr>
      <w:r w:rsidRPr="003A211F">
        <w:t>is a Territory Enterprise that operates solely in one or more Eligible Sector/s; and</w:t>
      </w:r>
    </w:p>
    <w:p w:rsidR="009F107D" w:rsidRPr="003A211F" w:rsidRDefault="009F107D" w:rsidP="003A211F">
      <w:pPr>
        <w:pStyle w:val="ListParagraph"/>
        <w:numPr>
          <w:ilvl w:val="1"/>
          <w:numId w:val="29"/>
        </w:numPr>
      </w:pPr>
      <w:r w:rsidRPr="003A211F">
        <w:t>held a valid Australian Business Number (ABN) and was registered for Goods and Services Tax (GST) as at 1 July 2019; and</w:t>
      </w:r>
    </w:p>
    <w:p w:rsidR="009F107D" w:rsidRPr="003A211F" w:rsidRDefault="009F107D" w:rsidP="003A211F">
      <w:pPr>
        <w:pStyle w:val="ListParagraph"/>
        <w:numPr>
          <w:ilvl w:val="1"/>
          <w:numId w:val="29"/>
        </w:numPr>
      </w:pPr>
      <w:r w:rsidRPr="003A211F">
        <w:t>was actively trading with an annual Turnover of more than $75,000 and less than $10 million for the 2018-19 financial year; and</w:t>
      </w:r>
    </w:p>
    <w:p w:rsidR="009F107D" w:rsidRPr="003A211F" w:rsidRDefault="009F107D" w:rsidP="003A211F">
      <w:pPr>
        <w:pStyle w:val="ListParagraph"/>
        <w:numPr>
          <w:ilvl w:val="1"/>
          <w:numId w:val="29"/>
        </w:numPr>
      </w:pPr>
      <w:r w:rsidRPr="003A211F">
        <w:t>has had to temporarily cease or significantly reduce trading (</w:t>
      </w:r>
      <w:proofErr w:type="spellStart"/>
      <w:r w:rsidRPr="003A211F">
        <w:t>ie</w:t>
      </w:r>
      <w:proofErr w:type="spellEnd"/>
      <w:r w:rsidRPr="003A211F">
        <w:t>. suffers a drop of 50% or more in turnover for nominated months between April and October 2021 as compared to the same period in 2019 as a direct result of the downturn in visitor numbers to the Northern Territory (whether because of government imposed restrictions or not); and</w:t>
      </w:r>
    </w:p>
    <w:p w:rsidR="009F107D" w:rsidRPr="003A211F" w:rsidRDefault="009F107D" w:rsidP="003A211F">
      <w:pPr>
        <w:pStyle w:val="ListParagraph"/>
        <w:numPr>
          <w:ilvl w:val="1"/>
          <w:numId w:val="29"/>
        </w:numPr>
      </w:pPr>
      <w:proofErr w:type="gramStart"/>
      <w:r w:rsidRPr="003A211F">
        <w:t>does</w:t>
      </w:r>
      <w:proofErr w:type="gramEnd"/>
      <w:r w:rsidRPr="003A211F">
        <w:t xml:space="preserve"> not have an outstanding debt due and payable to Tourism NT or the Northern Territory Government.</w:t>
      </w:r>
    </w:p>
    <w:p w:rsidR="009F107D" w:rsidRPr="003A211F" w:rsidRDefault="009F107D" w:rsidP="003A211F">
      <w:r w:rsidRPr="003A211F">
        <w:t>Businesses with an annual turnover exceeding $10 million in 2018-19 will be assessed on a case by case basis having regard to the other criteria and such other relevant matters as the Department may decide in its absolute discretion.</w:t>
      </w:r>
    </w:p>
    <w:p w:rsidR="009F107D" w:rsidRPr="003A211F" w:rsidRDefault="009F107D" w:rsidP="003A211F">
      <w:r w:rsidRPr="003A211F">
        <w:t>The Department will decide in its absolute discretion whether an applicant is an Eligible Recipient.</w:t>
      </w:r>
    </w:p>
    <w:p w:rsidR="009F107D" w:rsidRPr="003A211F" w:rsidRDefault="009F107D" w:rsidP="003A211F">
      <w:r w:rsidRPr="003A211F">
        <w:rPr>
          <w:b/>
        </w:rPr>
        <w:t>Excluded Recipients</w:t>
      </w:r>
      <w:r w:rsidRPr="003A211F">
        <w:t xml:space="preserve"> are businesses that have already received (or are expected to receive on approval of a current application) support through either the Arts and Culture COVID-19 Interruption Support Package or the Tourism Survival Fund (round one or round two).</w:t>
      </w:r>
    </w:p>
    <w:p w:rsidR="009F107D" w:rsidRPr="003A211F" w:rsidRDefault="009F107D" w:rsidP="003A211F">
      <w:r w:rsidRPr="003A211F">
        <w:rPr>
          <w:b/>
        </w:rPr>
        <w:t>Related</w:t>
      </w:r>
      <w:r w:rsidRPr="003A211F">
        <w:t xml:space="preserve"> means:</w:t>
      </w:r>
    </w:p>
    <w:p w:rsidR="009F107D" w:rsidRPr="003A211F" w:rsidRDefault="009F107D" w:rsidP="003A211F">
      <w:pPr>
        <w:pStyle w:val="ListParagraph"/>
        <w:numPr>
          <w:ilvl w:val="0"/>
          <w:numId w:val="30"/>
        </w:numPr>
      </w:pPr>
      <w:r w:rsidRPr="003A211F">
        <w:t>in relation to a company:</w:t>
      </w:r>
    </w:p>
    <w:p w:rsidR="009F107D" w:rsidRPr="003A211F" w:rsidRDefault="009F107D" w:rsidP="003A211F">
      <w:pPr>
        <w:pStyle w:val="ListParagraph"/>
        <w:numPr>
          <w:ilvl w:val="1"/>
          <w:numId w:val="31"/>
        </w:numPr>
      </w:pPr>
      <w:r w:rsidRPr="003A211F">
        <w:t>a director or member of the body or of a related body corporate, or</w:t>
      </w:r>
    </w:p>
    <w:p w:rsidR="009F107D" w:rsidRPr="003A211F" w:rsidRDefault="009F107D" w:rsidP="003A211F">
      <w:pPr>
        <w:pStyle w:val="ListParagraph"/>
        <w:numPr>
          <w:ilvl w:val="1"/>
          <w:numId w:val="31"/>
        </w:numPr>
      </w:pPr>
      <w:r w:rsidRPr="003A211F">
        <w:t>a Relative of a director or member, or</w:t>
      </w:r>
    </w:p>
    <w:p w:rsidR="009F107D" w:rsidRPr="003A211F" w:rsidRDefault="009F107D" w:rsidP="003A211F">
      <w:pPr>
        <w:pStyle w:val="ListParagraph"/>
        <w:numPr>
          <w:ilvl w:val="1"/>
          <w:numId w:val="31"/>
        </w:numPr>
      </w:pPr>
      <w:r w:rsidRPr="003A211F">
        <w:t>a Relative of the spouse of a director or member, or</w:t>
      </w:r>
    </w:p>
    <w:p w:rsidR="009F107D" w:rsidRPr="003A211F" w:rsidRDefault="009F107D" w:rsidP="003A211F">
      <w:pPr>
        <w:pStyle w:val="ListParagraph"/>
        <w:numPr>
          <w:ilvl w:val="0"/>
          <w:numId w:val="30"/>
        </w:numPr>
      </w:pPr>
      <w:proofErr w:type="gramStart"/>
      <w:r w:rsidRPr="003A211F">
        <w:t>an</w:t>
      </w:r>
      <w:proofErr w:type="gramEnd"/>
      <w:r w:rsidRPr="003A211F">
        <w:t xml:space="preserve"> employee of the company or a Relative of an employee of the company.</w:t>
      </w:r>
    </w:p>
    <w:p w:rsidR="009F107D" w:rsidRPr="003A211F" w:rsidRDefault="009F107D" w:rsidP="003A211F">
      <w:pPr>
        <w:pStyle w:val="ListParagraph"/>
        <w:numPr>
          <w:ilvl w:val="1"/>
          <w:numId w:val="32"/>
        </w:numPr>
      </w:pPr>
      <w:r w:rsidRPr="003A211F">
        <w:t>in relation to any other kind of legal entity,</w:t>
      </w:r>
    </w:p>
    <w:p w:rsidR="009F107D" w:rsidRPr="003A211F" w:rsidRDefault="009F107D" w:rsidP="003A211F">
      <w:pPr>
        <w:pStyle w:val="ListParagraph"/>
        <w:numPr>
          <w:ilvl w:val="1"/>
          <w:numId w:val="32"/>
        </w:numPr>
      </w:pPr>
      <w:r w:rsidRPr="003A211F">
        <w:t>a proprietor, partner or any other person exercising control (whether on their own or jointly with others) over the management of the business, or</w:t>
      </w:r>
    </w:p>
    <w:p w:rsidR="009F107D" w:rsidRPr="003A211F" w:rsidRDefault="009F107D" w:rsidP="003A211F">
      <w:pPr>
        <w:pStyle w:val="ListParagraph"/>
        <w:numPr>
          <w:ilvl w:val="1"/>
          <w:numId w:val="32"/>
        </w:numPr>
      </w:pPr>
      <w:r w:rsidRPr="003A211F">
        <w:t>a Relative of any person falling within (b)</w:t>
      </w:r>
      <w:proofErr w:type="spellStart"/>
      <w:r w:rsidRPr="003A211F">
        <w:t>i</w:t>
      </w:r>
      <w:proofErr w:type="spellEnd"/>
      <w:r w:rsidRPr="003A211F">
        <w:t>. above, or</w:t>
      </w:r>
    </w:p>
    <w:p w:rsidR="009F107D" w:rsidRPr="003A211F" w:rsidRDefault="009F107D" w:rsidP="003A211F">
      <w:pPr>
        <w:pStyle w:val="ListParagraph"/>
        <w:numPr>
          <w:ilvl w:val="1"/>
          <w:numId w:val="32"/>
        </w:numPr>
      </w:pPr>
      <w:proofErr w:type="gramStart"/>
      <w:r w:rsidRPr="003A211F">
        <w:t>an</w:t>
      </w:r>
      <w:proofErr w:type="gramEnd"/>
      <w:r w:rsidRPr="003A211F">
        <w:t xml:space="preserve"> employee of the business or a Relative of an employee of the business.</w:t>
      </w:r>
    </w:p>
    <w:p w:rsidR="009F107D" w:rsidRPr="003A211F" w:rsidRDefault="009F107D" w:rsidP="003A211F">
      <w:pPr>
        <w:pStyle w:val="ListParagraph"/>
        <w:numPr>
          <w:ilvl w:val="0"/>
          <w:numId w:val="30"/>
        </w:numPr>
      </w:pPr>
      <w:proofErr w:type="gramStart"/>
      <w:r w:rsidRPr="003A211F">
        <w:t>in</w:t>
      </w:r>
      <w:proofErr w:type="gramEnd"/>
      <w:r w:rsidRPr="003A211F">
        <w:t xml:space="preserve"> relation to a person, means a Relative of that person.</w:t>
      </w:r>
    </w:p>
    <w:p w:rsidR="009F107D" w:rsidRPr="003A211F" w:rsidRDefault="009F107D" w:rsidP="003A211F">
      <w:r w:rsidRPr="003A211F">
        <w:rPr>
          <w:b/>
        </w:rPr>
        <w:t>Relative</w:t>
      </w:r>
      <w:r w:rsidRPr="003A211F">
        <w:t xml:space="preserve"> in relation to a person, means the spouse, parent or grandparent, child or grandchild or brother or sister of the person.</w:t>
      </w:r>
    </w:p>
    <w:p w:rsidR="009F107D" w:rsidRPr="003A211F" w:rsidRDefault="009F107D" w:rsidP="003A211F">
      <w:r w:rsidRPr="003A211F">
        <w:lastRenderedPageBreak/>
        <w:t xml:space="preserve">A </w:t>
      </w:r>
      <w:r w:rsidRPr="003A211F">
        <w:rPr>
          <w:b/>
        </w:rPr>
        <w:t>Territory Enterprise</w:t>
      </w:r>
      <w:r w:rsidRPr="003A211F">
        <w:t xml:space="preserve"> is a business that satisfies all of the following:</w:t>
      </w:r>
    </w:p>
    <w:p w:rsidR="009F107D" w:rsidRPr="003A211F" w:rsidRDefault="009F107D" w:rsidP="003A211F">
      <w:pPr>
        <w:pStyle w:val="ListParagraph"/>
        <w:numPr>
          <w:ilvl w:val="0"/>
          <w:numId w:val="33"/>
        </w:numPr>
      </w:pPr>
      <w:r w:rsidRPr="003A211F">
        <w:t>operating in the Northern Territory - the enterprise is currently engaged in productive activities out of premises within the Northern Territory (i.e. production of goods or delivery of services); and</w:t>
      </w:r>
    </w:p>
    <w:p w:rsidR="009F107D" w:rsidRPr="003A211F" w:rsidRDefault="009F107D" w:rsidP="003A211F">
      <w:pPr>
        <w:pStyle w:val="ListParagraph"/>
        <w:numPr>
          <w:ilvl w:val="0"/>
          <w:numId w:val="33"/>
        </w:numPr>
      </w:pPr>
      <w:r w:rsidRPr="003A211F">
        <w:t>has a significant permanent presence - the enterprise maintains an office, manufacturing facilities or other permanent base within the Northern Territory; and</w:t>
      </w:r>
    </w:p>
    <w:p w:rsidR="009F107D" w:rsidRPr="003A211F" w:rsidRDefault="009F107D" w:rsidP="003A211F">
      <w:pPr>
        <w:pStyle w:val="ListParagraph"/>
        <w:numPr>
          <w:ilvl w:val="0"/>
          <w:numId w:val="33"/>
        </w:numPr>
      </w:pPr>
      <w:proofErr w:type="gramStart"/>
      <w:r w:rsidRPr="003A211F">
        <w:t>employs</w:t>
      </w:r>
      <w:proofErr w:type="gramEnd"/>
      <w:r w:rsidRPr="003A211F">
        <w:t xml:space="preserve"> Northern Territory residents.</w:t>
      </w:r>
    </w:p>
    <w:p w:rsidR="009F107D" w:rsidRPr="003A211F" w:rsidRDefault="009F107D" w:rsidP="003A211F">
      <w:r w:rsidRPr="003A211F">
        <w:rPr>
          <w:b/>
        </w:rPr>
        <w:t>Turnover</w:t>
      </w:r>
      <w:r w:rsidRPr="003A211F">
        <w:t xml:space="preserve"> means all ordinary gross revenue earned by the business in the ordinary conduct of its operations.</w:t>
      </w:r>
    </w:p>
    <w:p w:rsidR="009F107D" w:rsidRPr="009F107D" w:rsidRDefault="009F107D" w:rsidP="009F107D">
      <w:pPr>
        <w:pStyle w:val="Heading1"/>
      </w:pPr>
      <w:bookmarkStart w:id="11" w:name="1.3._How_to_Apply"/>
      <w:bookmarkStart w:id="12" w:name="_Toc80284772"/>
      <w:bookmarkStart w:id="13" w:name="_Toc89428522"/>
      <w:bookmarkEnd w:id="11"/>
      <w:r w:rsidRPr="009F107D">
        <w:t>How to apply</w:t>
      </w:r>
      <w:bookmarkEnd w:id="12"/>
      <w:bookmarkEnd w:id="13"/>
    </w:p>
    <w:p w:rsidR="009F107D" w:rsidRPr="003A211F" w:rsidRDefault="009F107D" w:rsidP="003A211F">
      <w:r w:rsidRPr="003A211F">
        <w:t>Applications must be made to the Department and comply with all processes and procedures contained in these Terms and Conditions and that the Department may otherwise set from time to time.</w:t>
      </w:r>
    </w:p>
    <w:p w:rsidR="009F107D" w:rsidRPr="003A211F" w:rsidRDefault="009F107D" w:rsidP="003A211F">
      <w:r w:rsidRPr="003A211F">
        <w:t xml:space="preserve">The application form for support and other information for applicants will be available online at </w:t>
      </w:r>
      <w:hyperlink r:id="rId14" w:history="1">
        <w:r w:rsidRPr="003A211F">
          <w:rPr>
            <w:rStyle w:val="Hyperlink"/>
          </w:rPr>
          <w:t>businessrecovery.nt.gov.au</w:t>
        </w:r>
      </w:hyperlink>
      <w:r w:rsidRPr="003A211F">
        <w:t xml:space="preserve"> from 10am on 3 December 2021.</w:t>
      </w:r>
    </w:p>
    <w:p w:rsidR="009F107D" w:rsidRPr="009F107D" w:rsidRDefault="009F107D" w:rsidP="009F107D">
      <w:pPr>
        <w:pStyle w:val="Heading1"/>
      </w:pPr>
      <w:bookmarkStart w:id="14" w:name="1.4._Eligibility_criteria_and_processes_"/>
      <w:bookmarkStart w:id="15" w:name="_Toc80284773"/>
      <w:bookmarkStart w:id="16" w:name="_Toc89428523"/>
      <w:bookmarkEnd w:id="14"/>
      <w:r w:rsidRPr="009F107D">
        <w:t>Eligibility criteria and processes – Eligible Recipient</w:t>
      </w:r>
      <w:bookmarkEnd w:id="15"/>
      <w:bookmarkEnd w:id="16"/>
    </w:p>
    <w:p w:rsidR="009F107D" w:rsidRPr="003A211F" w:rsidRDefault="009F107D" w:rsidP="003A211F">
      <w:pPr>
        <w:pStyle w:val="Heading2"/>
      </w:pPr>
      <w:bookmarkStart w:id="17" w:name="1.4.1._Eligibility"/>
      <w:bookmarkStart w:id="18" w:name="_Toc80284774"/>
      <w:bookmarkStart w:id="19" w:name="_Toc89428524"/>
      <w:bookmarkEnd w:id="17"/>
      <w:r w:rsidRPr="003A211F">
        <w:t>Eligibility</w:t>
      </w:r>
      <w:bookmarkEnd w:id="18"/>
      <w:bookmarkEnd w:id="19"/>
    </w:p>
    <w:p w:rsidR="009F107D" w:rsidRPr="003A211F" w:rsidRDefault="009F107D" w:rsidP="003A211F">
      <w:r w:rsidRPr="003A211F">
        <w:t>To obtain grant/s from the Program, the business must be an Eligible Recipient.  Sole traders as well as corporations are eligible to apply.</w:t>
      </w:r>
    </w:p>
    <w:p w:rsidR="009F107D" w:rsidRPr="009F107D" w:rsidRDefault="009F107D" w:rsidP="009F107D">
      <w:pPr>
        <w:pStyle w:val="Heading2"/>
      </w:pPr>
      <w:bookmarkStart w:id="20" w:name="1.4.2._Application_process"/>
      <w:bookmarkStart w:id="21" w:name="_Toc80284775"/>
      <w:bookmarkStart w:id="22" w:name="_Toc89428525"/>
      <w:bookmarkEnd w:id="20"/>
      <w:r w:rsidRPr="009F107D">
        <w:t>Application process</w:t>
      </w:r>
      <w:bookmarkEnd w:id="21"/>
      <w:bookmarkEnd w:id="22"/>
    </w:p>
    <w:p w:rsidR="009F107D" w:rsidRPr="003A211F" w:rsidRDefault="009F107D" w:rsidP="003A211F">
      <w:r w:rsidRPr="003A211F">
        <w:t xml:space="preserve">The Department will assess material already provided as part of round 1 to determine eligibility for round 2.  Successful applicants under round 1 who have suffered a 50% or more decline in turnover need to complete an application form, however do not need to resubmit previously provided documentation.  </w:t>
      </w:r>
    </w:p>
    <w:p w:rsidR="009F107D" w:rsidRPr="003A211F" w:rsidRDefault="009F107D" w:rsidP="003A211F">
      <w:r w:rsidRPr="003A211F">
        <w:t>Successful applicants under round 1 who have suffered a decline in turnover of between 30% and 50% may choose to adjust their turnover reference period to include the months of September or October, and are able to do so via the application process.</w:t>
      </w:r>
    </w:p>
    <w:p w:rsidR="009F107D" w:rsidRPr="009F107D" w:rsidRDefault="009F107D" w:rsidP="009F107D">
      <w:pPr>
        <w:rPr>
          <w:b/>
        </w:rPr>
      </w:pPr>
      <w:r w:rsidRPr="009F107D">
        <w:rPr>
          <w:b/>
        </w:rPr>
        <w:t>For new applicants to the Visitation Reliant Support program – round 2</w:t>
      </w:r>
    </w:p>
    <w:p w:rsidR="009F107D" w:rsidRPr="003A211F" w:rsidRDefault="009F107D" w:rsidP="003A211F">
      <w:r w:rsidRPr="003A211F">
        <w:t xml:space="preserve">In order to apply, go to </w:t>
      </w:r>
      <w:hyperlink r:id="rId15" w:history="1">
        <w:r w:rsidRPr="003A211F">
          <w:rPr>
            <w:rStyle w:val="Hyperlink"/>
          </w:rPr>
          <w:t>businessrecovery.nt.gov.au</w:t>
        </w:r>
      </w:hyperlink>
      <w:r w:rsidRPr="003A211F">
        <w:t xml:space="preserve"> and follow the links to fill out the online forms and upload the required supporting documentation, as per below steps:</w:t>
      </w:r>
    </w:p>
    <w:p w:rsidR="009F107D" w:rsidRPr="003A211F" w:rsidRDefault="009F107D" w:rsidP="003A211F">
      <w:pPr>
        <w:pStyle w:val="ListParagraph"/>
        <w:numPr>
          <w:ilvl w:val="0"/>
          <w:numId w:val="34"/>
        </w:numPr>
      </w:pPr>
      <w:r w:rsidRPr="003A211F">
        <w:t>Follow the link to start a new online application</w:t>
      </w:r>
    </w:p>
    <w:p w:rsidR="009F107D" w:rsidRPr="003A211F" w:rsidRDefault="009F107D" w:rsidP="003A211F">
      <w:pPr>
        <w:pStyle w:val="ListParagraph"/>
        <w:numPr>
          <w:ilvl w:val="0"/>
          <w:numId w:val="34"/>
        </w:numPr>
      </w:pPr>
      <w:r w:rsidRPr="003A211F">
        <w:t xml:space="preserve">Fill out the required details and upload required documents, which will include details of trading turnover for the periods </w:t>
      </w:r>
    </w:p>
    <w:p w:rsidR="009F107D" w:rsidRPr="003A211F" w:rsidRDefault="009F107D" w:rsidP="003A211F">
      <w:pPr>
        <w:pStyle w:val="ListParagraph"/>
        <w:numPr>
          <w:ilvl w:val="1"/>
          <w:numId w:val="35"/>
        </w:numPr>
      </w:pPr>
      <w:r w:rsidRPr="003A211F">
        <w:t>Selected turnover period in 2021 – months between April and October (inclusive), or any sequential combination during the same period, will be accepted</w:t>
      </w:r>
    </w:p>
    <w:p w:rsidR="009F107D" w:rsidRPr="003A211F" w:rsidRDefault="009F107D" w:rsidP="003A211F">
      <w:pPr>
        <w:pStyle w:val="ListParagraph"/>
        <w:numPr>
          <w:ilvl w:val="1"/>
          <w:numId w:val="35"/>
        </w:numPr>
      </w:pPr>
      <w:r w:rsidRPr="003A211F">
        <w:t>Selected turnover period in 2019 – months must be the same as for the 2021 turnover period</w:t>
      </w:r>
    </w:p>
    <w:p w:rsidR="009F107D" w:rsidRPr="003A211F" w:rsidRDefault="009F107D" w:rsidP="003A211F">
      <w:pPr>
        <w:pStyle w:val="ListParagraph"/>
        <w:numPr>
          <w:ilvl w:val="1"/>
          <w:numId w:val="35"/>
        </w:numPr>
      </w:pPr>
      <w:r w:rsidRPr="003A211F">
        <w:t>1 July 2018 – 30 June 2019</w:t>
      </w:r>
    </w:p>
    <w:p w:rsidR="009F107D" w:rsidRPr="003A211F" w:rsidRDefault="009F107D" w:rsidP="003A211F">
      <w:pPr>
        <w:pStyle w:val="ListParagraph"/>
        <w:numPr>
          <w:ilvl w:val="0"/>
          <w:numId w:val="34"/>
        </w:numPr>
      </w:pPr>
      <w:r w:rsidRPr="003A211F">
        <w:lastRenderedPageBreak/>
        <w:t>Submit application</w:t>
      </w:r>
    </w:p>
    <w:p w:rsidR="009F107D" w:rsidRPr="003A211F" w:rsidRDefault="009F107D" w:rsidP="003A211F">
      <w:r w:rsidRPr="003A211F">
        <w:t>New applicants in round 2 are not retrospectively eligible for round 1.</w:t>
      </w:r>
    </w:p>
    <w:p w:rsidR="009F107D" w:rsidRPr="003A211F" w:rsidRDefault="009F107D" w:rsidP="003A211F">
      <w:pPr>
        <w:pStyle w:val="Heading2"/>
      </w:pPr>
      <w:bookmarkStart w:id="23" w:name="1.4.3._Declaration_as_to_facts_of_applic"/>
      <w:bookmarkStart w:id="24" w:name="_Toc80284776"/>
      <w:bookmarkStart w:id="25" w:name="_Toc89428526"/>
      <w:bookmarkEnd w:id="23"/>
      <w:r w:rsidRPr="003A211F">
        <w:t>Declaration as to facts of application</w:t>
      </w:r>
      <w:bookmarkEnd w:id="24"/>
      <w:bookmarkEnd w:id="25"/>
    </w:p>
    <w:p w:rsidR="009F107D" w:rsidRPr="003A211F" w:rsidRDefault="009F107D" w:rsidP="003A211F">
      <w:r w:rsidRPr="003A211F">
        <w:t>The Recipient must complete the declaration which states, among other things:</w:t>
      </w:r>
    </w:p>
    <w:p w:rsidR="009F107D" w:rsidRPr="003A211F" w:rsidRDefault="009F107D" w:rsidP="003A211F">
      <w:pPr>
        <w:pStyle w:val="ListParagraph"/>
        <w:numPr>
          <w:ilvl w:val="0"/>
          <w:numId w:val="36"/>
        </w:numPr>
      </w:pPr>
      <w:r w:rsidRPr="003A211F">
        <w:t>that any facts in relation to the applicant’s turnover are true and correct in every particular and will remain true and correct for the period of participation in the Program;</w:t>
      </w:r>
    </w:p>
    <w:p w:rsidR="009F107D" w:rsidRPr="003A211F" w:rsidRDefault="009F107D" w:rsidP="003A211F">
      <w:pPr>
        <w:pStyle w:val="ListParagraph"/>
        <w:numPr>
          <w:ilvl w:val="0"/>
          <w:numId w:val="36"/>
        </w:numPr>
      </w:pPr>
      <w:r w:rsidRPr="003A211F">
        <w:t>that monies granted from the Program will be used solely for the Approved Purpose/s;</w:t>
      </w:r>
    </w:p>
    <w:p w:rsidR="009F107D" w:rsidRPr="003A211F" w:rsidRDefault="009F107D" w:rsidP="003A211F">
      <w:pPr>
        <w:pStyle w:val="ListParagraph"/>
        <w:numPr>
          <w:ilvl w:val="0"/>
          <w:numId w:val="36"/>
        </w:numPr>
      </w:pPr>
      <w:r w:rsidRPr="003A211F">
        <w:t>that monies granted from the Program will not be provided to a Related entity in whole or in part;</w:t>
      </w:r>
    </w:p>
    <w:p w:rsidR="009F107D" w:rsidRPr="003A211F" w:rsidRDefault="009F107D" w:rsidP="003A211F">
      <w:pPr>
        <w:pStyle w:val="ListParagraph"/>
        <w:numPr>
          <w:ilvl w:val="0"/>
          <w:numId w:val="36"/>
        </w:numPr>
      </w:pPr>
      <w:r w:rsidRPr="003A211F">
        <w:t>that the Recipient will obtain and maintain all legally required permits and certifications, will otherwise comply   with all applicable regulations and make copies available to the department if requested; and</w:t>
      </w:r>
    </w:p>
    <w:p w:rsidR="009F107D" w:rsidRPr="003A211F" w:rsidRDefault="009F107D" w:rsidP="003A211F">
      <w:pPr>
        <w:pStyle w:val="ListParagraph"/>
        <w:numPr>
          <w:ilvl w:val="0"/>
          <w:numId w:val="36"/>
        </w:numPr>
      </w:pPr>
      <w:proofErr w:type="gramStart"/>
      <w:r w:rsidRPr="003A211F">
        <w:t>such</w:t>
      </w:r>
      <w:proofErr w:type="gramEnd"/>
      <w:r w:rsidRPr="003A211F">
        <w:t xml:space="preserve"> other declarations as may be contained in the form of declaration in the application form.</w:t>
      </w:r>
    </w:p>
    <w:p w:rsidR="009F107D" w:rsidRPr="003A211F" w:rsidRDefault="009F107D" w:rsidP="003A211F">
      <w:r w:rsidRPr="003A211F">
        <w:t xml:space="preserve">Recipients may be asked to upload documentary information supporting their application or otherwise provide it to the Department at any time. For assistance with online applications, Recipients may </w:t>
      </w:r>
      <w:hyperlink r:id="rId16">
        <w:r w:rsidRPr="003A211F">
          <w:rPr>
            <w:rStyle w:val="Hyperlink"/>
          </w:rPr>
          <w:t>contact us</w:t>
        </w:r>
      </w:hyperlink>
      <w:hyperlink w:anchor="_bookmark10" w:history="1">
        <w:r w:rsidRPr="003A211F">
          <w:rPr>
            <w:rStyle w:val="Hyperlink"/>
          </w:rPr>
          <w:t xml:space="preserve"> </w:t>
        </w:r>
      </w:hyperlink>
      <w:r w:rsidRPr="003A211F">
        <w:t>(</w:t>
      </w:r>
      <w:hyperlink r:id="rId17" w:history="1">
        <w:r w:rsidRPr="003A211F">
          <w:rPr>
            <w:rStyle w:val="Hyperlink"/>
          </w:rPr>
          <w:t>https://businessrecovery.nt.gov.au/contacts</w:t>
        </w:r>
      </w:hyperlink>
      <w:r w:rsidRPr="003A211F">
        <w:t>) and a response will be provided within three to five business days.</w:t>
      </w:r>
    </w:p>
    <w:p w:rsidR="009F107D" w:rsidRPr="003A211F" w:rsidRDefault="009F107D" w:rsidP="003A211F">
      <w:pPr>
        <w:pStyle w:val="Heading2"/>
      </w:pPr>
      <w:bookmarkStart w:id="26" w:name="1.5._Fund_principles_and_criteria"/>
      <w:bookmarkStart w:id="27" w:name="_Toc80284777"/>
      <w:bookmarkStart w:id="28" w:name="_Toc89428527"/>
      <w:bookmarkEnd w:id="26"/>
      <w:r w:rsidRPr="003A211F">
        <w:t>Program principles</w:t>
      </w:r>
      <w:bookmarkEnd w:id="27"/>
      <w:bookmarkEnd w:id="28"/>
      <w:r w:rsidRPr="003A211F">
        <w:t xml:space="preserve"> </w:t>
      </w:r>
    </w:p>
    <w:p w:rsidR="009F107D" w:rsidRPr="003A211F" w:rsidRDefault="009F107D" w:rsidP="003A211F">
      <w:r w:rsidRPr="003A211F">
        <w:t>The following principles will be used to assess applications to the Program:</w:t>
      </w:r>
    </w:p>
    <w:p w:rsidR="009F107D" w:rsidRPr="003A211F" w:rsidRDefault="009F107D" w:rsidP="003A211F">
      <w:pPr>
        <w:pStyle w:val="ListParagraph"/>
        <w:numPr>
          <w:ilvl w:val="0"/>
          <w:numId w:val="37"/>
        </w:numPr>
      </w:pPr>
      <w:r w:rsidRPr="003A211F">
        <w:t>Adequate documented evidence of impact on the business of COVID-19 restrictions on travel, particularly in relation to Turnover, staffing levels and fixed  costs of the business; and</w:t>
      </w:r>
    </w:p>
    <w:p w:rsidR="009F107D" w:rsidRPr="003A211F" w:rsidRDefault="009F107D" w:rsidP="003A211F">
      <w:pPr>
        <w:pStyle w:val="ListParagraph"/>
        <w:numPr>
          <w:ilvl w:val="0"/>
          <w:numId w:val="37"/>
        </w:numPr>
      </w:pPr>
      <w:r w:rsidRPr="003A211F">
        <w:t xml:space="preserve">Provision of other appropriate evidence to support the application to the Program. </w:t>
      </w:r>
    </w:p>
    <w:p w:rsidR="009F107D" w:rsidRPr="009F107D" w:rsidRDefault="009F107D" w:rsidP="009F107D">
      <w:pPr>
        <w:pStyle w:val="Heading1"/>
      </w:pPr>
      <w:bookmarkStart w:id="29" w:name="_bookmark10"/>
      <w:bookmarkStart w:id="30" w:name="1.6._What_support_is_available"/>
      <w:bookmarkStart w:id="31" w:name="_Toc80284778"/>
      <w:bookmarkStart w:id="32" w:name="_Toc89428528"/>
      <w:bookmarkEnd w:id="29"/>
      <w:bookmarkEnd w:id="30"/>
      <w:r w:rsidRPr="009F107D">
        <w:t>Support available</w:t>
      </w:r>
      <w:bookmarkEnd w:id="31"/>
      <w:r w:rsidRPr="009F107D">
        <w:t xml:space="preserve"> in round 2</w:t>
      </w:r>
      <w:bookmarkEnd w:id="32"/>
    </w:p>
    <w:p w:rsidR="009F107D" w:rsidRPr="003A211F" w:rsidRDefault="009F107D" w:rsidP="003A211F">
      <w:r w:rsidRPr="003A211F">
        <w:t>Eligible Recipients will be able to receive the following one-off, scaled payment:</w:t>
      </w:r>
    </w:p>
    <w:tbl>
      <w:tblPr>
        <w:tblW w:w="0" w:type="auto"/>
        <w:tblInd w:w="557" w:type="dxa"/>
        <w:tblCellMar>
          <w:left w:w="0" w:type="dxa"/>
          <w:right w:w="0" w:type="dxa"/>
        </w:tblCellMar>
        <w:tblLook w:val="04A0" w:firstRow="1" w:lastRow="0" w:firstColumn="1" w:lastColumn="0" w:noHBand="0" w:noVBand="1"/>
      </w:tblPr>
      <w:tblGrid>
        <w:gridCol w:w="5812"/>
        <w:gridCol w:w="2268"/>
      </w:tblGrid>
      <w:tr w:rsidR="009F107D" w:rsidRPr="003A211F" w:rsidTr="003A211F">
        <w:trPr>
          <w:trHeight w:val="460"/>
        </w:trPr>
        <w:tc>
          <w:tcPr>
            <w:tcW w:w="5812" w:type="dxa"/>
            <w:tcBorders>
              <w:top w:val="single" w:sz="8" w:space="0" w:color="auto"/>
              <w:left w:val="single" w:sz="8" w:space="0" w:color="auto"/>
              <w:bottom w:val="single" w:sz="8" w:space="0" w:color="auto"/>
              <w:right w:val="single" w:sz="8" w:space="0" w:color="auto"/>
            </w:tcBorders>
            <w:shd w:val="clear" w:color="auto" w:fill="1F1F5F" w:themeFill="text1"/>
            <w:tcMar>
              <w:top w:w="0" w:type="dxa"/>
              <w:left w:w="108" w:type="dxa"/>
              <w:bottom w:w="0" w:type="dxa"/>
              <w:right w:w="108" w:type="dxa"/>
            </w:tcMar>
            <w:vAlign w:val="center"/>
            <w:hideMark/>
          </w:tcPr>
          <w:p w:rsidR="009F107D" w:rsidRPr="003A211F" w:rsidRDefault="009F107D" w:rsidP="003A211F">
            <w:pPr>
              <w:spacing w:after="0"/>
              <w:rPr>
                <w:b/>
              </w:rPr>
            </w:pPr>
            <w:r w:rsidRPr="003A211F">
              <w:rPr>
                <w:b/>
              </w:rPr>
              <w:t>Type of business</w:t>
            </w:r>
          </w:p>
        </w:tc>
        <w:tc>
          <w:tcPr>
            <w:tcW w:w="2268" w:type="dxa"/>
            <w:tcBorders>
              <w:top w:val="single" w:sz="8" w:space="0" w:color="auto"/>
              <w:left w:val="nil"/>
              <w:bottom w:val="single" w:sz="8" w:space="0" w:color="auto"/>
              <w:right w:val="single" w:sz="8" w:space="0" w:color="auto"/>
            </w:tcBorders>
            <w:shd w:val="clear" w:color="auto" w:fill="1F1F5F" w:themeFill="text1"/>
            <w:tcMar>
              <w:top w:w="0" w:type="dxa"/>
              <w:left w:w="108" w:type="dxa"/>
              <w:bottom w:w="0" w:type="dxa"/>
              <w:right w:w="108" w:type="dxa"/>
            </w:tcMar>
            <w:vAlign w:val="center"/>
            <w:hideMark/>
          </w:tcPr>
          <w:p w:rsidR="009F107D" w:rsidRPr="003A211F" w:rsidRDefault="009F107D" w:rsidP="003A211F">
            <w:pPr>
              <w:spacing w:after="0"/>
              <w:jc w:val="center"/>
              <w:rPr>
                <w:b/>
              </w:rPr>
            </w:pPr>
            <w:r w:rsidRPr="003A211F">
              <w:rPr>
                <w:b/>
              </w:rPr>
              <w:t>One-off payment</w:t>
            </w:r>
          </w:p>
        </w:tc>
      </w:tr>
      <w:tr w:rsidR="009F107D" w:rsidRPr="00AE59FA" w:rsidTr="003A211F">
        <w:trPr>
          <w:trHeight w:val="68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07D" w:rsidRPr="00AE59FA" w:rsidRDefault="009F107D" w:rsidP="003A211F">
            <w:pPr>
              <w:spacing w:after="0"/>
            </w:pPr>
            <w:r>
              <w:t>Business with no employees other than self (includes sole traders)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107D" w:rsidRPr="00AE59FA" w:rsidRDefault="009F107D" w:rsidP="003A211F">
            <w:pPr>
              <w:spacing w:after="0"/>
              <w:jc w:val="center"/>
            </w:pPr>
            <w:r w:rsidRPr="00AE59FA">
              <w:t>$</w:t>
            </w:r>
            <w:r>
              <w:t>3</w:t>
            </w:r>
            <w:r w:rsidRPr="00AE59FA">
              <w:t>,000</w:t>
            </w:r>
          </w:p>
        </w:tc>
      </w:tr>
      <w:tr w:rsidR="009F107D" w:rsidRPr="00AE59FA" w:rsidTr="003A211F">
        <w:trPr>
          <w:trHeight w:val="68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07D" w:rsidRPr="00AE59FA" w:rsidRDefault="009F107D" w:rsidP="003A211F">
            <w:pPr>
              <w:spacing w:after="0"/>
            </w:pPr>
            <w:r>
              <w:t>Business employing at least one person other than the owner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107D" w:rsidRPr="00AE59FA" w:rsidRDefault="009F107D" w:rsidP="003A211F">
            <w:pPr>
              <w:spacing w:after="0"/>
              <w:jc w:val="center"/>
            </w:pPr>
            <w:r w:rsidRPr="00AE59FA">
              <w:t>$</w:t>
            </w:r>
            <w:r>
              <w:t>9,000</w:t>
            </w:r>
          </w:p>
        </w:tc>
      </w:tr>
    </w:tbl>
    <w:p w:rsidR="009F107D" w:rsidRPr="009F107D" w:rsidRDefault="009F107D" w:rsidP="009F107D">
      <w:pPr>
        <w:pStyle w:val="Heading1"/>
      </w:pPr>
      <w:bookmarkStart w:id="33" w:name="_Toc80284779"/>
      <w:bookmarkStart w:id="34" w:name="_Toc89428529"/>
      <w:r w:rsidRPr="009F107D">
        <w:t>Audit of information</w:t>
      </w:r>
      <w:bookmarkEnd w:id="33"/>
      <w:bookmarkEnd w:id="34"/>
    </w:p>
    <w:p w:rsidR="009F107D" w:rsidRPr="003A211F" w:rsidRDefault="009F107D" w:rsidP="003A211F">
      <w:r w:rsidRPr="003A211F">
        <w:t xml:space="preserve">The Department or Tourism NT may request an Eligible Recipient to provide an up to date accounting position of the relevant business and the use to which any grants from the Program have been put, at any time during    the period up until 12 months from the cessation of the Program. If the Department requests an Eligible Recipient to show its books of account, it must provide copies of the relevant information to the </w:t>
      </w:r>
      <w:r w:rsidRPr="003A211F">
        <w:lastRenderedPageBreak/>
        <w:t>Department certified true and correct by a Certified Practising Accountant or Auditor within two (2) business days of the day on which the request is made.</w:t>
      </w:r>
    </w:p>
    <w:p w:rsidR="009F107D" w:rsidRPr="009F107D" w:rsidRDefault="009F107D" w:rsidP="009F107D">
      <w:pPr>
        <w:pStyle w:val="Heading1"/>
      </w:pPr>
      <w:bookmarkStart w:id="35" w:name="1.8._No_incentives_to_be_offered_or_acce"/>
      <w:bookmarkStart w:id="36" w:name="1.9._GST"/>
      <w:bookmarkStart w:id="37" w:name="_Toc80284780"/>
      <w:bookmarkStart w:id="38" w:name="_Toc89428530"/>
      <w:bookmarkEnd w:id="35"/>
      <w:bookmarkEnd w:id="36"/>
      <w:r w:rsidRPr="009F107D">
        <w:t>Goods and Services Tax</w:t>
      </w:r>
      <w:bookmarkEnd w:id="37"/>
      <w:bookmarkEnd w:id="38"/>
    </w:p>
    <w:p w:rsidR="009F107D" w:rsidRPr="003A211F" w:rsidRDefault="009F107D" w:rsidP="003A211F">
      <w:r w:rsidRPr="003A211F">
        <w:t>Grant payments under the Program are not subject to the Goods and Services Tax (GST).</w:t>
      </w:r>
    </w:p>
    <w:p w:rsidR="009F107D" w:rsidRPr="009F107D" w:rsidRDefault="009F107D" w:rsidP="009F107D">
      <w:pPr>
        <w:pStyle w:val="Heading1"/>
      </w:pPr>
      <w:bookmarkStart w:id="39" w:name="1.7._Audit_of_Information"/>
      <w:bookmarkStart w:id="40" w:name="1.10._All_supplies_using_grants_at_risk_"/>
      <w:bookmarkStart w:id="41" w:name="_Toc80284781"/>
      <w:bookmarkStart w:id="42" w:name="_Toc89428531"/>
      <w:bookmarkEnd w:id="39"/>
      <w:bookmarkEnd w:id="40"/>
      <w:r w:rsidRPr="009F107D">
        <w:t>All supplies using grants at risk of Recipient</w:t>
      </w:r>
      <w:bookmarkEnd w:id="41"/>
      <w:bookmarkEnd w:id="42"/>
    </w:p>
    <w:p w:rsidR="009F107D" w:rsidRPr="003A211F" w:rsidRDefault="009F107D" w:rsidP="003A211F">
      <w:r w:rsidRPr="003A211F">
        <w:t>The Department makes no representation or gives any warranty whatsoever in relation to the use of grants from the Program. All purchasing and payment decisions carried out by a Recipient are entirely at its own risk in all things.</w:t>
      </w:r>
    </w:p>
    <w:p w:rsidR="009F107D" w:rsidRPr="009F107D" w:rsidRDefault="009F107D" w:rsidP="009F107D">
      <w:pPr>
        <w:pStyle w:val="Heading1"/>
      </w:pPr>
      <w:bookmarkStart w:id="43" w:name="1.11._Fund_changes"/>
      <w:bookmarkStart w:id="44" w:name="_Toc80284782"/>
      <w:bookmarkStart w:id="45" w:name="_Toc89428532"/>
      <w:bookmarkEnd w:id="43"/>
      <w:r w:rsidRPr="009F107D">
        <w:t>Program changes</w:t>
      </w:r>
      <w:bookmarkEnd w:id="44"/>
      <w:bookmarkEnd w:id="45"/>
    </w:p>
    <w:p w:rsidR="009F107D" w:rsidRPr="003A211F" w:rsidRDefault="009F107D" w:rsidP="003A211F">
      <w:r w:rsidRPr="003A211F">
        <w:t>The Department reserves the right to:</w:t>
      </w:r>
    </w:p>
    <w:p w:rsidR="009F107D" w:rsidRPr="003A211F" w:rsidRDefault="009F107D" w:rsidP="003A211F">
      <w:pPr>
        <w:pStyle w:val="ListParagraph"/>
        <w:numPr>
          <w:ilvl w:val="0"/>
          <w:numId w:val="38"/>
        </w:numPr>
      </w:pPr>
      <w:r w:rsidRPr="003A211F">
        <w:t>vary these Terms and Conditions, the eligibility criteria or any other documented rule or procedure relating to the Program at any time;</w:t>
      </w:r>
    </w:p>
    <w:p w:rsidR="009F107D" w:rsidRPr="003A211F" w:rsidRDefault="009F107D" w:rsidP="003A211F">
      <w:pPr>
        <w:pStyle w:val="ListParagraph"/>
        <w:numPr>
          <w:ilvl w:val="0"/>
          <w:numId w:val="38"/>
        </w:numPr>
      </w:pPr>
      <w:r w:rsidRPr="003A211F">
        <w:t>accept or reject any application for participation in the Program in its absolute discretion;</w:t>
      </w:r>
    </w:p>
    <w:p w:rsidR="009F107D" w:rsidRPr="003A211F" w:rsidRDefault="009F107D" w:rsidP="003A211F">
      <w:pPr>
        <w:pStyle w:val="ListParagraph"/>
        <w:numPr>
          <w:ilvl w:val="0"/>
          <w:numId w:val="38"/>
        </w:numPr>
      </w:pPr>
      <w:proofErr w:type="gramStart"/>
      <w:r w:rsidRPr="003A211F">
        <w:t>cease</w:t>
      </w:r>
      <w:proofErr w:type="gramEnd"/>
      <w:r w:rsidRPr="003A211F">
        <w:t xml:space="preserve"> the Program at any time should Northern Territory Government policy change.</w:t>
      </w:r>
    </w:p>
    <w:p w:rsidR="009F107D" w:rsidRPr="009F107D" w:rsidRDefault="009F107D" w:rsidP="009F107D">
      <w:pPr>
        <w:pStyle w:val="Heading1"/>
      </w:pPr>
      <w:bookmarkStart w:id="46" w:name="1.12._Privacy"/>
      <w:bookmarkStart w:id="47" w:name="_Toc80284783"/>
      <w:bookmarkStart w:id="48" w:name="_Toc89428533"/>
      <w:bookmarkEnd w:id="46"/>
      <w:r w:rsidRPr="009F107D">
        <w:t>Privacy</w:t>
      </w:r>
      <w:bookmarkEnd w:id="47"/>
      <w:bookmarkEnd w:id="48"/>
    </w:p>
    <w:p w:rsidR="009F107D" w:rsidRPr="003A211F" w:rsidRDefault="009F107D" w:rsidP="003A211F">
      <w:r w:rsidRPr="003A211F">
        <w:t xml:space="preserve">The Department is bound by the Information Act (NT) and will only ever use information in accordance with the Northern Territory Government’s Information Privacy Principles. These principles are available at </w:t>
      </w:r>
      <w:hyperlink r:id="rId18">
        <w:r w:rsidRPr="003A211F">
          <w:rPr>
            <w:rStyle w:val="Hyperlink"/>
          </w:rPr>
          <w:t xml:space="preserve">www.infocomm.nt.gov.au/privacy/information-privacy-principles </w:t>
        </w:r>
      </w:hyperlink>
      <w:r w:rsidRPr="003A211F">
        <w:t>or by contacting the Information Commissioner Northern Territory on 1800 005 610.</w:t>
      </w:r>
    </w:p>
    <w:p w:rsidR="009F107D" w:rsidRPr="003A211F" w:rsidRDefault="009F107D" w:rsidP="003A211F">
      <w:r w:rsidRPr="003A211F">
        <w:t xml:space="preserve">Recipients should read the Department’s </w:t>
      </w:r>
      <w:hyperlink r:id="rId19">
        <w:r w:rsidRPr="003A211F">
          <w:rPr>
            <w:rStyle w:val="Hyperlink"/>
          </w:rPr>
          <w:t>Privacy Policy</w:t>
        </w:r>
      </w:hyperlink>
      <w:r w:rsidRPr="003A211F">
        <w:rPr>
          <w:vertAlign w:val="superscript"/>
        </w:rPr>
        <w:footnoteReference w:id="2"/>
      </w:r>
      <w:r w:rsidRPr="003A211F">
        <w:t xml:space="preserve"> and by providing information to the Department under the Program, Recipients agree to the following Privacy Statement:</w:t>
      </w:r>
    </w:p>
    <w:p w:rsidR="009F107D" w:rsidRPr="003A211F" w:rsidRDefault="009F107D" w:rsidP="003A211F">
      <w:r w:rsidRPr="003A211F">
        <w:t xml:space="preserve">Information collected as part of the Program application process is collected in accordance with the Program’s Terms and Conditions and for the purposes of assessing participant eligibility, audit, monitoring, </w:t>
      </w:r>
      <w:proofErr w:type="gramStart"/>
      <w:r w:rsidRPr="003A211F">
        <w:t>evaluation  and</w:t>
      </w:r>
      <w:proofErr w:type="gramEnd"/>
      <w:r w:rsidRPr="003A211F">
        <w:t xml:space="preserve"> reporting.</w:t>
      </w:r>
    </w:p>
    <w:p w:rsidR="009F107D" w:rsidRPr="003A211F" w:rsidRDefault="009F107D" w:rsidP="003A211F">
      <w:r w:rsidRPr="003A211F">
        <w:t>By applying to participate in the Program, you consent to the Northern Territory Government:</w:t>
      </w:r>
    </w:p>
    <w:p w:rsidR="009F107D" w:rsidRPr="003A211F" w:rsidRDefault="009F107D" w:rsidP="003A211F">
      <w:pPr>
        <w:pStyle w:val="ListParagraph"/>
        <w:numPr>
          <w:ilvl w:val="0"/>
          <w:numId w:val="39"/>
        </w:numPr>
      </w:pPr>
      <w:r w:rsidRPr="003A211F">
        <w:t>storing information, including personal information (such as names and personal contact details);</w:t>
      </w:r>
    </w:p>
    <w:p w:rsidR="009F107D" w:rsidRPr="003A211F" w:rsidRDefault="009F107D" w:rsidP="003A211F">
      <w:pPr>
        <w:pStyle w:val="ListParagraph"/>
        <w:numPr>
          <w:ilvl w:val="0"/>
          <w:numId w:val="39"/>
        </w:numPr>
      </w:pPr>
      <w:r w:rsidRPr="003A211F">
        <w:t>using the information, including personal information for the purposes mentioned under the paragraph above;</w:t>
      </w:r>
    </w:p>
    <w:p w:rsidR="009F107D" w:rsidRPr="003A211F" w:rsidRDefault="009F107D" w:rsidP="003A211F">
      <w:pPr>
        <w:pStyle w:val="ListParagraph"/>
        <w:numPr>
          <w:ilvl w:val="0"/>
          <w:numId w:val="39"/>
        </w:numPr>
      </w:pPr>
      <w:r w:rsidRPr="003A211F">
        <w:t>transferring some of this information, including personal information, outside of the Northern Territory (but not outside Australia) for the purpose storing it; and</w:t>
      </w:r>
    </w:p>
    <w:p w:rsidR="009F107D" w:rsidRPr="003A211F" w:rsidRDefault="009F107D" w:rsidP="003A211F">
      <w:pPr>
        <w:pStyle w:val="ListParagraph"/>
        <w:numPr>
          <w:ilvl w:val="0"/>
          <w:numId w:val="39"/>
        </w:numPr>
      </w:pPr>
      <w:proofErr w:type="gramStart"/>
      <w:r w:rsidRPr="003A211F">
        <w:t>releasing</w:t>
      </w:r>
      <w:proofErr w:type="gramEnd"/>
      <w:r w:rsidRPr="003A211F">
        <w:t xml:space="preserve"> non-sensitive information, de-identified data in accordance with the Northern Territory Government’s open data policy.</w:t>
      </w:r>
    </w:p>
    <w:p w:rsidR="009F107D" w:rsidRPr="003A211F" w:rsidRDefault="009F107D" w:rsidP="003A211F">
      <w:r w:rsidRPr="003A211F">
        <w:lastRenderedPageBreak/>
        <w:t>If you have provided personal information of another individual to the Northern Territory Government, you warrant that you have informed the person to whom the personal information relates that the personal information will be provided to the Northern Territory Government, and of the Northern Territory Government’s intended use of this personal information, and that you have obtained consent from all such persons to allow the Northern Territory Government to use and disclose their personal information in this manner.</w:t>
      </w:r>
    </w:p>
    <w:p w:rsidR="009F107D" w:rsidRPr="009F107D" w:rsidRDefault="009F107D" w:rsidP="009F107D">
      <w:pPr>
        <w:pStyle w:val="Heading1"/>
      </w:pPr>
      <w:bookmarkStart w:id="49" w:name="_Toc80284784"/>
      <w:bookmarkStart w:id="50" w:name="_Toc89428534"/>
      <w:r w:rsidRPr="009F107D">
        <w:t>Due diligence, audit and compliance with law</w:t>
      </w:r>
      <w:bookmarkEnd w:id="49"/>
      <w:bookmarkEnd w:id="50"/>
    </w:p>
    <w:p w:rsidR="009F107D" w:rsidRPr="003A211F" w:rsidRDefault="009F107D" w:rsidP="003A211F">
      <w:r w:rsidRPr="003A211F">
        <w:t>All Recipients acknowledge:</w:t>
      </w:r>
    </w:p>
    <w:p w:rsidR="009F107D" w:rsidRPr="003A211F" w:rsidRDefault="009F107D" w:rsidP="003A211F">
      <w:pPr>
        <w:pStyle w:val="ListParagraph"/>
        <w:numPr>
          <w:ilvl w:val="0"/>
          <w:numId w:val="40"/>
        </w:numPr>
      </w:pPr>
      <w:proofErr w:type="gramStart"/>
      <w:r w:rsidRPr="003A211F">
        <w:t>that</w:t>
      </w:r>
      <w:proofErr w:type="gramEnd"/>
      <w:r w:rsidRPr="003A211F">
        <w:t xml:space="preserve"> the Department will conduct such due diligence enquiries on recipients as it sees fit in order to ensure both integrity of the Program and that the allocated Programming is used strictly in accordance with  the intent of the relevant government policy. Such enquiries may include (but are not necessarily limited to) company and business name searches on an Eligible Recipient, related property or other assets, onsite inspections of any business premises, checks on any works being carried out at a business premises, searches of the courts and/ or the trustee in bankruptcy; and</w:t>
      </w:r>
    </w:p>
    <w:p w:rsidR="009F107D" w:rsidRPr="003A211F" w:rsidRDefault="009F107D" w:rsidP="003A211F">
      <w:pPr>
        <w:pStyle w:val="ListParagraph"/>
        <w:numPr>
          <w:ilvl w:val="0"/>
          <w:numId w:val="40"/>
        </w:numPr>
      </w:pPr>
      <w:r w:rsidRPr="003A211F">
        <w:t>that it is a condition of accepting a grant from the Program that Recipients comply with all relevant laws, and, without limitation, that Recipients ensure they are aware of their obligations under the Independent Commissioner Against Corruption Act 2017 and that none of their officers, employees, and/ or members engage in improper conduct as that term is defined in the Act.</w:t>
      </w:r>
    </w:p>
    <w:p w:rsidR="009F107D" w:rsidRPr="003A211F" w:rsidRDefault="009F107D" w:rsidP="003A211F">
      <w:r w:rsidRPr="003A211F">
        <w:t>The Department reserves the right to conduct an Audit at any time during and within 12 months after the Program ends.</w:t>
      </w:r>
    </w:p>
    <w:p w:rsidR="009F107D" w:rsidRPr="003A211F" w:rsidRDefault="009F107D" w:rsidP="003A211F">
      <w:r w:rsidRPr="003A211F">
        <w:t>By applying to participate in the Program, Recipients declare that they agree to the Department having access to any private register of information in relation to their business, and to the Department using, storing and releasing for lawful purposes, their information, including personal information.</w:t>
      </w:r>
    </w:p>
    <w:p w:rsidR="009F107D" w:rsidRPr="009F107D" w:rsidRDefault="009F107D" w:rsidP="009F107D">
      <w:pPr>
        <w:pStyle w:val="Heading1"/>
      </w:pPr>
      <w:bookmarkStart w:id="51" w:name="_Toc80284785"/>
      <w:bookmarkStart w:id="52" w:name="_Toc89428535"/>
      <w:r w:rsidRPr="009F107D">
        <w:t>Beginning and end of Program</w:t>
      </w:r>
      <w:bookmarkEnd w:id="51"/>
      <w:bookmarkEnd w:id="52"/>
    </w:p>
    <w:p w:rsidR="009F107D" w:rsidRPr="003A211F" w:rsidRDefault="009F107D" w:rsidP="003A211F">
      <w:r w:rsidRPr="003A211F">
        <w:t>The Program is the result of a once-off commitment of the NT Government to provide urgent relief to Northern Territory businesses. Applications for grants from the Program open at 10am on 3 December 2021 and the Program will close either at 5pm on 31 January 2022, when grant monies are fully committed, whichever is sooner, or when the Northern Territory Government decides to close it.</w:t>
      </w:r>
    </w:p>
    <w:p w:rsidR="009F107D" w:rsidRPr="009F107D" w:rsidRDefault="009F107D" w:rsidP="009F107D">
      <w:pPr>
        <w:pStyle w:val="Heading1"/>
      </w:pPr>
      <w:bookmarkStart w:id="53" w:name="_Toc89428536"/>
      <w:r w:rsidRPr="009F107D">
        <w:t>Contacts</w:t>
      </w:r>
      <w:bookmarkEnd w:id="53"/>
    </w:p>
    <w:p w:rsidR="009F107D" w:rsidRPr="003A211F" w:rsidRDefault="009F107D" w:rsidP="003A211F">
      <w:r w:rsidRPr="003A211F">
        <w:t>For more detail regarding the Fund, please contact Tourism NT’s business enterprise officers:</w:t>
      </w:r>
    </w:p>
    <w:p w:rsidR="009F107D" w:rsidRPr="003A211F" w:rsidRDefault="009F107D" w:rsidP="003A211F">
      <w:pPr>
        <w:pStyle w:val="ListParagraph"/>
        <w:numPr>
          <w:ilvl w:val="0"/>
          <w:numId w:val="41"/>
        </w:numPr>
      </w:pPr>
      <w:r w:rsidRPr="003A211F">
        <w:t xml:space="preserve">Top End – Georgina </w:t>
      </w:r>
      <w:proofErr w:type="spellStart"/>
      <w:r w:rsidRPr="003A211F">
        <w:t>Tsorvas</w:t>
      </w:r>
      <w:proofErr w:type="spellEnd"/>
      <w:r w:rsidRPr="003A211F">
        <w:t xml:space="preserve">, phone 8999 3951, email </w:t>
      </w:r>
      <w:hyperlink r:id="rId20" w:history="1">
        <w:r w:rsidRPr="003A211F">
          <w:rPr>
            <w:rStyle w:val="Hyperlink"/>
          </w:rPr>
          <w:t>georgina.tsorvas@nt.gov.au</w:t>
        </w:r>
      </w:hyperlink>
    </w:p>
    <w:p w:rsidR="009F107D" w:rsidRPr="003A211F" w:rsidRDefault="009F107D" w:rsidP="003A211F">
      <w:pPr>
        <w:pStyle w:val="ListParagraph"/>
        <w:numPr>
          <w:ilvl w:val="0"/>
          <w:numId w:val="41"/>
        </w:numPr>
      </w:pPr>
      <w:r w:rsidRPr="003A211F">
        <w:t xml:space="preserve">Centre – Nick </w:t>
      </w:r>
      <w:proofErr w:type="spellStart"/>
      <w:r w:rsidRPr="003A211F">
        <w:t>Ruch</w:t>
      </w:r>
      <w:proofErr w:type="spellEnd"/>
      <w:r w:rsidRPr="003A211F">
        <w:t xml:space="preserve">, phone 8951 8158, email </w:t>
      </w:r>
      <w:hyperlink r:id="rId21" w:history="1">
        <w:r w:rsidRPr="003A211F">
          <w:rPr>
            <w:rStyle w:val="Hyperlink"/>
          </w:rPr>
          <w:t>nicholas.ruch@nt.gov.au</w:t>
        </w:r>
      </w:hyperlink>
    </w:p>
    <w:p w:rsidR="009F107D" w:rsidRPr="003A211F" w:rsidRDefault="009F107D" w:rsidP="003A211F"/>
    <w:sectPr w:rsidR="009F107D" w:rsidRPr="003A211F" w:rsidSect="008B7C3D">
      <w:footerReference w:type="default" r:id="rId22"/>
      <w:headerReference w:type="first" r:id="rId2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7E" w:rsidRDefault="00A00A7E">
      <w:r>
        <w:separator/>
      </w:r>
    </w:p>
  </w:endnote>
  <w:endnote w:type="continuationSeparator" w:id="0">
    <w:p w:rsidR="00A00A7E" w:rsidRDefault="00A00A7E">
      <w:r>
        <w:continuationSeparator/>
      </w:r>
    </w:p>
  </w:endnote>
  <w:endnote w:type="continuationNotice" w:id="1">
    <w:p w:rsidR="00A00A7E" w:rsidRDefault="00A00A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69CD9D3FAC24A80B3DF11DF3B09E36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F107D">
                <w:rPr>
                  <w:rStyle w:val="PageNumber"/>
                  <w:b/>
                </w:rPr>
                <w:t>INDUSTRY, TOURISM AND TRADE</w:t>
              </w:r>
            </w:sdtContent>
          </w:sdt>
        </w:p>
        <w:p w:rsidR="00CB6A67" w:rsidRPr="00CE6614" w:rsidRDefault="00A00A7E" w:rsidP="00CB6A67">
          <w:pPr>
            <w:spacing w:after="0"/>
            <w:rPr>
              <w:rStyle w:val="PageNumber"/>
            </w:rPr>
          </w:pPr>
          <w:sdt>
            <w:sdtPr>
              <w:rPr>
                <w:rStyle w:val="PageNumber"/>
              </w:rPr>
              <w:alias w:val="Date"/>
              <w:tag w:val=""/>
              <w:id w:val="1578473972"/>
              <w:placeholder>
                <w:docPart w:val="F78A05DC50794DCA8709CCF452432040"/>
              </w:placeholder>
              <w:dataBinding w:prefixMappings="xmlns:ns0='http://schemas.microsoft.com/office/2006/coverPageProps' " w:xpath="/ns0:CoverPageProperties[1]/ns0:PublishDate[1]" w:storeItemID="{55AF091B-3C7A-41E3-B477-F2FDAA23CFDA}"/>
              <w15:color w:val="000000"/>
              <w:date w:fullDate="2021-12-03T00:00:00Z">
                <w:dateFormat w:val="d MMMM yyyy"/>
                <w:lid w:val="en-AU"/>
                <w:storeMappedDataAs w:val="dateTime"/>
                <w:calendar w:val="gregorian"/>
              </w:date>
            </w:sdtPr>
            <w:sdtEndPr>
              <w:rPr>
                <w:rStyle w:val="PageNumber"/>
              </w:rPr>
            </w:sdtEndPr>
            <w:sdtContent>
              <w:r w:rsidR="009F107D">
                <w:rPr>
                  <w:rStyle w:val="PageNumber"/>
                </w:rPr>
                <w:t>3 December 2021</w:t>
              </w:r>
            </w:sdtContent>
          </w:sdt>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211F">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211F">
            <w:rPr>
              <w:rStyle w:val="PageNumber"/>
              <w:noProof/>
            </w:rPr>
            <w:t>8</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7E" w:rsidRDefault="00A00A7E">
      <w:r>
        <w:separator/>
      </w:r>
    </w:p>
  </w:footnote>
  <w:footnote w:type="continuationSeparator" w:id="0">
    <w:p w:rsidR="00A00A7E" w:rsidRDefault="00A00A7E">
      <w:r>
        <w:continuationSeparator/>
      </w:r>
    </w:p>
  </w:footnote>
  <w:footnote w:type="continuationNotice" w:id="1">
    <w:p w:rsidR="00A00A7E" w:rsidRDefault="00A00A7E">
      <w:pPr>
        <w:spacing w:after="0"/>
      </w:pPr>
    </w:p>
  </w:footnote>
  <w:footnote w:id="2">
    <w:p w:rsidR="009F107D" w:rsidRDefault="009F107D">
      <w:pPr>
        <w:pStyle w:val="FootnoteText"/>
      </w:pPr>
      <w:r>
        <w:rPr>
          <w:rStyle w:val="FootnoteReference"/>
        </w:rPr>
        <w:footnoteRef/>
      </w:r>
      <w:r>
        <w:t xml:space="preserve"> </w:t>
      </w:r>
      <w:r w:rsidRPr="009F107D">
        <w:t>https://industry.nt.gov.au/business/publications/policies/privacy-policy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A00A7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9F107D">
          <w:t>Visitation Reliant Support Program – round 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C507"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9F107D" w:rsidP="008E0345">
        <w:pPr>
          <w:pStyle w:val="Header"/>
          <w:rPr>
            <w:b/>
          </w:rPr>
        </w:pPr>
        <w:r>
          <w:t>Visitation Reliant Support Program – round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CA8"/>
    <w:multiLevelType w:val="hybridMultilevel"/>
    <w:tmpl w:val="F342B51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40FDE"/>
    <w:multiLevelType w:val="hybridMultilevel"/>
    <w:tmpl w:val="E350F0B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9E13FDF"/>
    <w:multiLevelType w:val="hybridMultilevel"/>
    <w:tmpl w:val="FCE8E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70B2C"/>
    <w:multiLevelType w:val="hybridMultilevel"/>
    <w:tmpl w:val="720EFB3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A540BB"/>
    <w:multiLevelType w:val="hybridMultilevel"/>
    <w:tmpl w:val="1D743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0745B26"/>
    <w:multiLevelType w:val="hybridMultilevel"/>
    <w:tmpl w:val="1F50B3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8C74E0"/>
    <w:multiLevelType w:val="hybridMultilevel"/>
    <w:tmpl w:val="F4146F2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9B4AC8"/>
    <w:multiLevelType w:val="hybridMultilevel"/>
    <w:tmpl w:val="4E349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F4B40BE"/>
    <w:multiLevelType w:val="hybridMultilevel"/>
    <w:tmpl w:val="168A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E52320"/>
    <w:multiLevelType w:val="hybridMultilevel"/>
    <w:tmpl w:val="99BAF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8A503C"/>
    <w:multiLevelType w:val="hybridMultilevel"/>
    <w:tmpl w:val="A6024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2402094"/>
    <w:multiLevelType w:val="hybridMultilevel"/>
    <w:tmpl w:val="09042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475E8A"/>
    <w:multiLevelType w:val="hybridMultilevel"/>
    <w:tmpl w:val="2EC4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BF217F"/>
    <w:multiLevelType w:val="hybridMultilevel"/>
    <w:tmpl w:val="8880105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2F1F625F"/>
    <w:multiLevelType w:val="hybridMultilevel"/>
    <w:tmpl w:val="2F1A46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1940670"/>
    <w:multiLevelType w:val="hybridMultilevel"/>
    <w:tmpl w:val="3058F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1D7A1E"/>
    <w:multiLevelType w:val="hybridMultilevel"/>
    <w:tmpl w:val="51B63C9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EF25E3B"/>
    <w:multiLevelType w:val="hybridMultilevel"/>
    <w:tmpl w:val="758A8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B27264"/>
    <w:multiLevelType w:val="hybridMultilevel"/>
    <w:tmpl w:val="4F76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8D7E40"/>
    <w:multiLevelType w:val="hybridMultilevel"/>
    <w:tmpl w:val="55B0AC84"/>
    <w:lvl w:ilvl="0" w:tplc="0C090017">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7CB607F"/>
    <w:multiLevelType w:val="hybridMultilevel"/>
    <w:tmpl w:val="66AC6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9B65420"/>
    <w:multiLevelType w:val="hybridMultilevel"/>
    <w:tmpl w:val="2AC4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C771BD0"/>
    <w:multiLevelType w:val="hybridMultilevel"/>
    <w:tmpl w:val="69CC42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4AE35D9"/>
    <w:multiLevelType w:val="hybridMultilevel"/>
    <w:tmpl w:val="103C456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AA17440"/>
    <w:multiLevelType w:val="hybridMultilevel"/>
    <w:tmpl w:val="17AE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0EB2DAB"/>
    <w:multiLevelType w:val="hybridMultilevel"/>
    <w:tmpl w:val="7E2022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36C54FC"/>
    <w:multiLevelType w:val="hybridMultilevel"/>
    <w:tmpl w:val="0BFAD5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56E4451"/>
    <w:multiLevelType w:val="hybridMultilevel"/>
    <w:tmpl w:val="605072AC"/>
    <w:lvl w:ilvl="0" w:tplc="516E686C">
      <w:start w:val="9"/>
      <w:numFmt w:val="decimal"/>
      <w:lvlText w:val="%1."/>
      <w:lvlJc w:val="left"/>
      <w:pPr>
        <w:ind w:left="474" w:hanging="360"/>
      </w:pPr>
      <w:rPr>
        <w:rFonts w:hint="default"/>
        <w:color w:val="454346"/>
        <w:w w:val="85"/>
      </w:rPr>
    </w:lvl>
    <w:lvl w:ilvl="1" w:tplc="0C090019">
      <w:start w:val="1"/>
      <w:numFmt w:val="lowerLetter"/>
      <w:lvlText w:val="%2."/>
      <w:lvlJc w:val="left"/>
      <w:pPr>
        <w:ind w:left="1194" w:hanging="360"/>
      </w:pPr>
    </w:lvl>
    <w:lvl w:ilvl="2" w:tplc="0C09001B">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3" w15:restartNumberingAfterBreak="0">
    <w:nsid w:val="7CBB60CD"/>
    <w:multiLevelType w:val="hybridMultilevel"/>
    <w:tmpl w:val="CB7C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323B1C"/>
    <w:multiLevelType w:val="hybridMultilevel"/>
    <w:tmpl w:val="CD9C4F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62"/>
  </w:num>
  <w:num w:numId="4">
    <w:abstractNumId w:val="40"/>
  </w:num>
  <w:num w:numId="5">
    <w:abstractNumId w:val="28"/>
  </w:num>
  <w:num w:numId="6">
    <w:abstractNumId w:val="15"/>
  </w:num>
  <w:num w:numId="7">
    <w:abstractNumId w:val="44"/>
  </w:num>
  <w:num w:numId="8">
    <w:abstractNumId w:val="27"/>
  </w:num>
  <w:num w:numId="9">
    <w:abstractNumId w:val="35"/>
  </w:num>
  <w:num w:numId="10">
    <w:abstractNumId w:val="60"/>
  </w:num>
  <w:num w:numId="11">
    <w:abstractNumId w:val="54"/>
  </w:num>
  <w:num w:numId="12">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63"/>
  </w:num>
  <w:num w:numId="16">
    <w:abstractNumId w:val="64"/>
  </w:num>
  <w:num w:numId="17">
    <w:abstractNumId w:val="57"/>
  </w:num>
  <w:num w:numId="18">
    <w:abstractNumId w:val="9"/>
  </w:num>
  <w:num w:numId="19">
    <w:abstractNumId w:val="3"/>
  </w:num>
  <w:num w:numId="20">
    <w:abstractNumId w:val="11"/>
  </w:num>
  <w:num w:numId="21">
    <w:abstractNumId w:val="50"/>
  </w:num>
  <w:num w:numId="22">
    <w:abstractNumId w:val="19"/>
  </w:num>
  <w:num w:numId="23">
    <w:abstractNumId w:val="43"/>
  </w:num>
  <w:num w:numId="24">
    <w:abstractNumId w:val="20"/>
  </w:num>
  <w:num w:numId="25">
    <w:abstractNumId w:val="1"/>
  </w:num>
  <w:num w:numId="26">
    <w:abstractNumId w:val="5"/>
  </w:num>
  <w:num w:numId="27">
    <w:abstractNumId w:val="58"/>
  </w:num>
  <w:num w:numId="28">
    <w:abstractNumId w:val="0"/>
  </w:num>
  <w:num w:numId="29">
    <w:abstractNumId w:val="45"/>
  </w:num>
  <w:num w:numId="30">
    <w:abstractNumId w:val="52"/>
  </w:num>
  <w:num w:numId="31">
    <w:abstractNumId w:val="10"/>
  </w:num>
  <w:num w:numId="32">
    <w:abstractNumId w:val="38"/>
  </w:num>
  <w:num w:numId="33">
    <w:abstractNumId w:val="23"/>
  </w:num>
  <w:num w:numId="34">
    <w:abstractNumId w:val="2"/>
  </w:num>
  <w:num w:numId="35">
    <w:abstractNumId w:val="29"/>
  </w:num>
  <w:num w:numId="36">
    <w:abstractNumId w:val="56"/>
  </w:num>
  <w:num w:numId="37">
    <w:abstractNumId w:val="42"/>
  </w:num>
  <w:num w:numId="38">
    <w:abstractNumId w:val="24"/>
  </w:num>
  <w:num w:numId="39">
    <w:abstractNumId w:val="32"/>
  </w:num>
  <w:num w:numId="40">
    <w:abstractNumId w:val="21"/>
  </w:num>
  <w:num w:numId="41">
    <w:abstractNumId w:val="4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7D"/>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A56"/>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2F53"/>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211F"/>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1814"/>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107D"/>
    <w:rsid w:val="009F2A4D"/>
    <w:rsid w:val="009F3302"/>
    <w:rsid w:val="00A00828"/>
    <w:rsid w:val="00A00A7E"/>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22AF1"/>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C8D"/>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A212E-7373-4706-A1DF-E29A6A26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7D"/>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9"/>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qFormat/>
    <w:rsid w:val="002F3CF1"/>
    <w:pPr>
      <w:tabs>
        <w:tab w:val="right" w:leader="dot" w:pos="10318"/>
      </w:tabs>
      <w:spacing w:before="120" w:after="100"/>
      <w:ind w:left="425" w:hanging="425"/>
    </w:pPr>
    <w:rPr>
      <w:b/>
    </w:rPr>
  </w:style>
  <w:style w:type="paragraph" w:styleId="TOC2">
    <w:name w:val="toc 2"/>
    <w:basedOn w:val="Normal"/>
    <w:next w:val="Normal"/>
    <w:autoRedefine/>
    <w:uiPriority w:val="39"/>
    <w:qFormat/>
    <w:rsid w:val="002F3CF1"/>
    <w:pPr>
      <w:tabs>
        <w:tab w:val="left" w:pos="880"/>
        <w:tab w:val="right" w:leader="dot" w:pos="10318"/>
      </w:tabs>
      <w:spacing w:after="100"/>
      <w:ind w:left="220"/>
    </w:pPr>
  </w:style>
  <w:style w:type="paragraph" w:styleId="TOC3">
    <w:name w:val="toc 3"/>
    <w:basedOn w:val="Normal"/>
    <w:next w:val="Normal"/>
    <w:autoRedefine/>
    <w:uiPriority w:val="39"/>
    <w:qFormat/>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Paragraph">
    <w:name w:val="Table Paragraph"/>
    <w:basedOn w:val="Normal"/>
    <w:uiPriority w:val="1"/>
    <w:qFormat/>
    <w:rsid w:val="009F107D"/>
    <w:pPr>
      <w:widowControl w:val="0"/>
      <w:autoSpaceDE w:val="0"/>
      <w:autoSpaceDN w:val="0"/>
      <w:spacing w:before="31" w:after="0" w:line="248" w:lineRule="exact"/>
      <w:ind w:left="391"/>
    </w:pPr>
    <w:rPr>
      <w:rFonts w:ascii="Tahoma" w:eastAsia="Tahoma" w:hAnsi="Tahoma" w:cs="Tahoma"/>
    </w:rPr>
  </w:style>
  <w:style w:type="character" w:styleId="CommentReference">
    <w:name w:val="annotation reference"/>
    <w:basedOn w:val="DefaultParagraphFont"/>
    <w:uiPriority w:val="99"/>
    <w:semiHidden/>
    <w:unhideWhenUsed/>
    <w:rsid w:val="009F107D"/>
    <w:rPr>
      <w:sz w:val="16"/>
      <w:szCs w:val="16"/>
    </w:rPr>
  </w:style>
  <w:style w:type="paragraph" w:styleId="CommentText">
    <w:name w:val="annotation text"/>
    <w:basedOn w:val="Normal"/>
    <w:link w:val="CommentTextChar"/>
    <w:uiPriority w:val="99"/>
    <w:semiHidden/>
    <w:unhideWhenUsed/>
    <w:rsid w:val="009F107D"/>
    <w:pPr>
      <w:widowControl w:val="0"/>
      <w:autoSpaceDE w:val="0"/>
      <w:autoSpaceDN w:val="0"/>
      <w:spacing w:after="0"/>
    </w:pPr>
    <w:rPr>
      <w:rFonts w:ascii="Tahoma" w:eastAsia="Tahoma" w:hAnsi="Tahoma" w:cs="Tahoma"/>
      <w:sz w:val="20"/>
      <w:szCs w:val="20"/>
    </w:rPr>
  </w:style>
  <w:style w:type="character" w:customStyle="1" w:styleId="CommentTextChar">
    <w:name w:val="Comment Text Char"/>
    <w:basedOn w:val="DefaultParagraphFont"/>
    <w:link w:val="CommentText"/>
    <w:uiPriority w:val="99"/>
    <w:semiHidden/>
    <w:rsid w:val="009F107D"/>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F107D"/>
    <w:rPr>
      <w:b/>
      <w:bCs/>
    </w:rPr>
  </w:style>
  <w:style w:type="character" w:customStyle="1" w:styleId="CommentSubjectChar">
    <w:name w:val="Comment Subject Char"/>
    <w:basedOn w:val="CommentTextChar"/>
    <w:link w:val="CommentSubject"/>
    <w:uiPriority w:val="99"/>
    <w:semiHidden/>
    <w:rsid w:val="009F107D"/>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9F107D"/>
    <w:pPr>
      <w:widowControl w:val="0"/>
      <w:autoSpaceDE w:val="0"/>
      <w:autoSpaceDN w:val="0"/>
      <w:spacing w:after="0"/>
    </w:pPr>
    <w:rPr>
      <w:rFonts w:ascii="Segoe UI" w:eastAsia="Tahoma" w:hAnsi="Segoe UI" w:cs="Segoe UI"/>
      <w:sz w:val="18"/>
      <w:szCs w:val="18"/>
    </w:rPr>
  </w:style>
  <w:style w:type="character" w:customStyle="1" w:styleId="BalloonTextChar">
    <w:name w:val="Balloon Text Char"/>
    <w:basedOn w:val="DefaultParagraphFont"/>
    <w:link w:val="BalloonText"/>
    <w:uiPriority w:val="99"/>
    <w:semiHidden/>
    <w:rsid w:val="009F107D"/>
    <w:rPr>
      <w:rFonts w:ascii="Segoe UI" w:eastAsia="Tahoma" w:hAnsi="Segoe UI" w:cs="Segoe UI"/>
      <w:sz w:val="18"/>
      <w:szCs w:val="18"/>
    </w:rPr>
  </w:style>
  <w:style w:type="character" w:styleId="FollowedHyperlink">
    <w:name w:val="FollowedHyperlink"/>
    <w:basedOn w:val="DefaultParagraphFont"/>
    <w:uiPriority w:val="99"/>
    <w:semiHidden/>
    <w:unhideWhenUsed/>
    <w:rsid w:val="009F107D"/>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nfocomm.nt.gov.au/privacy/information-privacy-principl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nicholas.ruch@nt.gov.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businessrecovery.nt.gov.au/contac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usinessrecovery.nt.gov.au/contacts" TargetMode="External"/><Relationship Id="rId20" Type="http://schemas.openxmlformats.org/officeDocument/2006/relationships/hyperlink" Target="mailto:georgina.tsorvas@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usinessrecovery.nt.gov.au/"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industry.nt.gov.au/business/publications/policies/privacy-polic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usinessrecovery.nt.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31343EED24D278DAE58F7542EF1C9"/>
        <w:category>
          <w:name w:val="General"/>
          <w:gallery w:val="placeholder"/>
        </w:category>
        <w:types>
          <w:type w:val="bbPlcHdr"/>
        </w:types>
        <w:behaviors>
          <w:behavior w:val="content"/>
        </w:behaviors>
        <w:guid w:val="{12485B0E-19F7-4536-8602-B0BD2860461C}"/>
      </w:docPartPr>
      <w:docPartBody>
        <w:p w:rsidR="003B1C2E" w:rsidRDefault="004427D3">
          <w:pPr>
            <w:pStyle w:val="A2731343EED24D278DAE58F7542EF1C9"/>
          </w:pPr>
          <w:r w:rsidRPr="000C7A65">
            <w:rPr>
              <w:rStyle w:val="PlaceholderText"/>
            </w:rPr>
            <w:t>[Title]</w:t>
          </w:r>
        </w:p>
      </w:docPartBody>
    </w:docPart>
    <w:docPart>
      <w:docPartPr>
        <w:name w:val="769CD9D3FAC24A80B3DF11DF3B09E362"/>
        <w:category>
          <w:name w:val="General"/>
          <w:gallery w:val="placeholder"/>
        </w:category>
        <w:types>
          <w:type w:val="bbPlcHdr"/>
        </w:types>
        <w:behaviors>
          <w:behavior w:val="content"/>
        </w:behaviors>
        <w:guid w:val="{2F061C73-17C3-4211-A2C9-DD66143DBB14}"/>
      </w:docPartPr>
      <w:docPartBody>
        <w:p w:rsidR="003B1C2E" w:rsidRDefault="004427D3">
          <w:pPr>
            <w:pStyle w:val="769CD9D3FAC24A80B3DF11DF3B09E362"/>
          </w:pPr>
          <w:r w:rsidRPr="007B29CC">
            <w:rPr>
              <w:rStyle w:val="PlaceholderText"/>
            </w:rPr>
            <w:t>[Company]</w:t>
          </w:r>
        </w:p>
      </w:docPartBody>
    </w:docPart>
    <w:docPart>
      <w:docPartPr>
        <w:name w:val="F78A05DC50794DCA8709CCF452432040"/>
        <w:category>
          <w:name w:val="General"/>
          <w:gallery w:val="placeholder"/>
        </w:category>
        <w:types>
          <w:type w:val="bbPlcHdr"/>
        </w:types>
        <w:behaviors>
          <w:behavior w:val="content"/>
        </w:behaviors>
        <w:guid w:val="{AC24585C-DDE9-4C20-BDB8-259F870276AD}"/>
      </w:docPartPr>
      <w:docPartBody>
        <w:p w:rsidR="003B1C2E" w:rsidRDefault="004427D3">
          <w:pPr>
            <w:pStyle w:val="F78A05DC50794DCA8709CCF45243204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D3"/>
    <w:rsid w:val="002A6457"/>
    <w:rsid w:val="003B1C2E"/>
    <w:rsid w:val="004427D3"/>
    <w:rsid w:val="00453250"/>
    <w:rsid w:val="008D2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731343EED24D278DAE58F7542EF1C9">
    <w:name w:val="A2731343EED24D278DAE58F7542EF1C9"/>
  </w:style>
  <w:style w:type="paragraph" w:customStyle="1" w:styleId="7CE407B3F972421B9873EB814E4E6C7C">
    <w:name w:val="7CE407B3F972421B9873EB814E4E6C7C"/>
  </w:style>
  <w:style w:type="paragraph" w:customStyle="1" w:styleId="769CD9D3FAC24A80B3DF11DF3B09E362">
    <w:name w:val="769CD9D3FAC24A80B3DF11DF3B09E362"/>
  </w:style>
  <w:style w:type="paragraph" w:customStyle="1" w:styleId="F78A05DC50794DCA8709CCF452432040">
    <w:name w:val="F78A05DC50794DCA8709CCF452432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E6F46-7FE0-4AD6-9CB0-7A3BC5AB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21</TotalTime>
  <Pages>8</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Visitation Reliant Support Program – round 2</vt:lpstr>
    </vt:vector>
  </TitlesOfParts>
  <Company>INDUSTRY, TOURISM AND TRADE</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Visitation Reliant Support Program – round 2</dc:title>
  <dc:subject>Terms and conditions</dc:subject>
  <dc:creator>Northern Territory Government</dc:creator>
  <cp:lastModifiedBy>Marlene Woods</cp:lastModifiedBy>
  <cp:revision>4</cp:revision>
  <cp:lastPrinted>2016-02-04T04:37:00Z</cp:lastPrinted>
  <dcterms:created xsi:type="dcterms:W3CDTF">2021-12-03T02:28:00Z</dcterms:created>
  <dcterms:modified xsi:type="dcterms:W3CDTF">2021-12-03T03:25:00Z</dcterms:modified>
</cp:coreProperties>
</file>